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rFonts w:ascii="Alef" w:eastAsiaTheme="majorEastAsia" w:hAnsi="Alef" w:cs="Alef"/>
          <w:caps/>
          <w:rtl/>
        </w:rPr>
        <w:id w:val="131909489"/>
        <w:docPartObj>
          <w:docPartGallery w:val="Cover Pages"/>
          <w:docPartUnique/>
        </w:docPartObj>
      </w:sdtPr>
      <w:sdtEndPr>
        <w:rPr>
          <w:caps w:val="0"/>
          <w:sz w:val="72"/>
          <w:szCs w:val="72"/>
          <w:rtl w:val="0"/>
        </w:rPr>
      </w:sdtEndPr>
      <w:sdtContent>
        <w:tbl>
          <w:tblPr>
            <w:bidiVisual/>
            <w:tblW w:w="5203" w:type="pct"/>
            <w:jc w:val="center"/>
            <w:tblLook w:val="04A0" w:firstRow="1" w:lastRow="0" w:firstColumn="1" w:lastColumn="0" w:noHBand="0" w:noVBand="1"/>
          </w:tblPr>
          <w:tblGrid>
            <w:gridCol w:w="8643"/>
          </w:tblGrid>
          <w:tr w:rsidR="00EB5588" w:rsidRPr="00BA63B1" w14:paraId="79DDEEBE" w14:textId="77777777" w:rsidTr="006439A8">
            <w:trPr>
              <w:trHeight w:val="2904"/>
              <w:jc w:val="center"/>
            </w:trPr>
            <w:tc>
              <w:tcPr>
                <w:tcW w:w="5000" w:type="pct"/>
              </w:tcPr>
              <w:p w14:paraId="4C8DE02D" w14:textId="46E856CD" w:rsidR="00EB5588" w:rsidRPr="00BA63B1" w:rsidRDefault="00221548" w:rsidP="006439A8">
                <w:pPr>
                  <w:pStyle w:val="NoSpacing"/>
                  <w:jc w:val="center"/>
                  <w:rPr>
                    <w:rFonts w:ascii="Alef" w:eastAsiaTheme="majorEastAsia" w:hAnsi="Alef" w:cs="Alef"/>
                    <w:caps/>
                    <w:rtl/>
                    <w:cs/>
                  </w:rPr>
                </w:pPr>
                <w:r w:rsidRPr="00E71B20">
                  <w:rPr>
                    <w:rFonts w:asciiTheme="majorBidi" w:hAnsiTheme="majorBidi"/>
                    <w:b/>
                    <w:bCs/>
                    <w:noProof/>
                    <w:sz w:val="32"/>
                    <w:szCs w:val="32"/>
                  </w:rPr>
                  <w:drawing>
                    <wp:inline distT="0" distB="0" distL="0" distR="0" wp14:anchorId="5A56D1CF" wp14:editId="4FBBDC26">
                      <wp:extent cx="1654110" cy="1915286"/>
                      <wp:effectExtent l="0" t="0" r="0" b="0"/>
                      <wp:docPr id="2051" name="תמונה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תמונה 15"/>
                              <pic:cNvPicPr>
                                <a:picLocks noChangeAspect="1"/>
                              </pic:cNvPicPr>
                            </pic:nvPicPr>
                            <pic:blipFill rotWithShape="1">
                              <a:blip r:embed="rId9">
                                <a:extLst>
                                  <a:ext uri="{28A0092B-C50C-407E-A947-70E740481C1C}">
                                    <a14:useLocalDpi xmlns:a14="http://schemas.microsoft.com/office/drawing/2010/main" val="0"/>
                                  </a:ext>
                                </a:extLst>
                              </a:blip>
                              <a:srcRect l="73115" t="17286" r="9075" b="6654"/>
                              <a:stretch/>
                            </pic:blipFill>
                            <pic:spPr bwMode="auto">
                              <a:xfrm>
                                <a:off x="0" y="0"/>
                                <a:ext cx="1663820" cy="1926530"/>
                              </a:xfrm>
                              <a:prstGeom prst="rect">
                                <a:avLst/>
                              </a:prstGeom>
                              <a:noFill/>
                              <a:ln>
                                <a:noFill/>
                              </a:ln>
                              <a:extLst/>
                            </pic:spPr>
                          </pic:pic>
                        </a:graphicData>
                      </a:graphic>
                    </wp:inline>
                  </w:drawing>
                </w:r>
              </w:p>
            </w:tc>
          </w:tr>
          <w:tr w:rsidR="00EB5588" w:rsidRPr="00BA63B1" w14:paraId="3A7FBC57" w14:textId="77777777" w:rsidTr="00221548">
            <w:trPr>
              <w:trHeight w:val="3998"/>
              <w:jc w:val="center"/>
            </w:trPr>
            <w:sdt>
              <w:sdtPr>
                <w:rPr>
                  <w:rFonts w:ascii="Alef" w:eastAsiaTheme="majorEastAsia" w:hAnsi="Alef" w:cs="Alef"/>
                  <w:sz w:val="80"/>
                  <w:szCs w:val="80"/>
                  <w:rtl/>
                </w:rPr>
                <w:alias w:val="כותרת"/>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14:paraId="521CEB67" w14:textId="1C69688F" w:rsidR="00EB5588" w:rsidRPr="00BA63B1" w:rsidRDefault="00F26CA2" w:rsidP="006439A8">
                    <w:pPr>
                      <w:pStyle w:val="NoSpacing"/>
                      <w:jc w:val="center"/>
                      <w:rPr>
                        <w:rFonts w:ascii="Alef" w:eastAsiaTheme="majorEastAsia" w:hAnsi="Alef" w:cs="Alef"/>
                        <w:sz w:val="80"/>
                        <w:szCs w:val="80"/>
                        <w:rtl/>
                        <w:cs/>
                      </w:rPr>
                    </w:pPr>
                    <w:r w:rsidRPr="00BA63B1">
                      <w:rPr>
                        <w:rFonts w:ascii="Alef" w:eastAsiaTheme="majorEastAsia" w:hAnsi="Alef" w:cs="Alef"/>
                        <w:sz w:val="80"/>
                        <w:szCs w:val="80"/>
                        <w:rtl/>
                      </w:rPr>
                      <w:t>דוח הערכת השפעת רגולציה</w:t>
                    </w:r>
                  </w:p>
                </w:tc>
              </w:sdtContent>
            </w:sdt>
          </w:tr>
          <w:tr w:rsidR="00EB5588" w:rsidRPr="00BA63B1" w14:paraId="483D3D64" w14:textId="77777777" w:rsidTr="006439A8">
            <w:trPr>
              <w:trHeight w:val="726"/>
              <w:jc w:val="center"/>
            </w:trPr>
            <w:sdt>
              <w:sdtPr>
                <w:rPr>
                  <w:rFonts w:ascii="Alef" w:hAnsi="Alef" w:cs="Alef"/>
                  <w:sz w:val="36"/>
                  <w:szCs w:val="36"/>
                  <w:rtl/>
                </w:rPr>
                <w:alias w:val="כותרת משנה"/>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51691AFD" w14:textId="0A42B06D" w:rsidR="00EB5588" w:rsidRPr="00BA63B1" w:rsidRDefault="00D84E10" w:rsidP="0029083E">
                    <w:pPr>
                      <w:pStyle w:val="NoSpacing"/>
                      <w:jc w:val="center"/>
                      <w:rPr>
                        <w:rFonts w:ascii="Alef" w:eastAsiaTheme="majorEastAsia" w:hAnsi="Alef" w:cs="Alef"/>
                        <w:sz w:val="44"/>
                        <w:szCs w:val="44"/>
                      </w:rPr>
                    </w:pPr>
                    <w:r w:rsidRPr="00D84E10">
                      <w:rPr>
                        <w:rFonts w:ascii="Alef" w:hAnsi="Alef" w:cs="Alef"/>
                        <w:sz w:val="36"/>
                        <w:szCs w:val="36"/>
                        <w:rtl/>
                      </w:rPr>
                      <w:t>פטור סוג להסדרים תפעוליים שעניינם תובלה בין-לאומית בים,</w:t>
                    </w:r>
                    <w:r w:rsidRPr="00D84E10">
                      <w:rPr>
                        <w:rFonts w:ascii="Alef" w:hAnsi="Alef" w:cs="Alef" w:hint="cs"/>
                        <w:sz w:val="36"/>
                        <w:szCs w:val="36"/>
                        <w:rtl/>
                      </w:rPr>
                      <w:t xml:space="preserve"> </w:t>
                    </w:r>
                    <w:r w:rsidRPr="00D84E10">
                      <w:rPr>
                        <w:rFonts w:ascii="Alef" w:hAnsi="Alef" w:cs="Alef"/>
                        <w:sz w:val="36"/>
                        <w:szCs w:val="36"/>
                        <w:rtl/>
                      </w:rPr>
                      <w:t>התשע"ג-2012</w:t>
                    </w:r>
                    <w:r w:rsidRPr="00D84E10">
                      <w:rPr>
                        <w:rFonts w:ascii="Alef" w:hAnsi="Alef" w:cs="Alef" w:hint="cs"/>
                        <w:sz w:val="36"/>
                        <w:szCs w:val="36"/>
                        <w:rtl/>
                      </w:rPr>
                      <w:t xml:space="preserve"> </w:t>
                    </w:r>
                    <w:r w:rsidRPr="00D84E10">
                      <w:rPr>
                        <w:rFonts w:ascii="Alef" w:hAnsi="Alef" w:cs="Alef"/>
                        <w:sz w:val="36"/>
                        <w:szCs w:val="36"/>
                        <w:rtl/>
                      </w:rPr>
                      <w:t xml:space="preserve">(הוראת שעה)(תיקון), </w:t>
                    </w:r>
                    <w:proofErr w:type="spellStart"/>
                    <w:r w:rsidRPr="00D84E10">
                      <w:rPr>
                        <w:rFonts w:ascii="Alef" w:hAnsi="Alef" w:cs="Alef"/>
                        <w:sz w:val="36"/>
                        <w:szCs w:val="36"/>
                        <w:rtl/>
                      </w:rPr>
                      <w:t>התשפ"ב</w:t>
                    </w:r>
                    <w:proofErr w:type="spellEnd"/>
                    <w:r w:rsidRPr="00D84E10">
                      <w:rPr>
                        <w:rFonts w:ascii="Alef" w:hAnsi="Alef" w:cs="Alef"/>
                        <w:sz w:val="36"/>
                        <w:szCs w:val="36"/>
                        <w:rtl/>
                      </w:rPr>
                      <w:t xml:space="preserve"> 2022</w:t>
                    </w:r>
                  </w:p>
                </w:tc>
              </w:sdtContent>
            </w:sdt>
          </w:tr>
          <w:tr w:rsidR="00EB5588" w:rsidRPr="00BA63B1" w14:paraId="08E0B17A" w14:textId="77777777" w:rsidTr="006439A8">
            <w:trPr>
              <w:trHeight w:val="363"/>
              <w:jc w:val="center"/>
            </w:trPr>
            <w:sdt>
              <w:sdtPr>
                <w:rPr>
                  <w:rFonts w:ascii="Alef" w:hAnsi="Alef" w:cs="Alef"/>
                  <w:b/>
                  <w:bCs/>
                  <w:rtl/>
                </w:rPr>
                <w:alias w:val="תאריך"/>
                <w:id w:val="516659546"/>
                <w:dataBinding w:prefixMappings="xmlns:ns0='http://schemas.microsoft.com/office/2006/coverPageProps'" w:xpath="/ns0:CoverPageProperties[1]/ns0:PublishDate[1]" w:storeItemID="{55AF091B-3C7A-41E3-B477-F2FDAA23CFDA}"/>
                <w:date w:fullDate="2022-06-15T00:00:00Z">
                  <w:dateFormat w:val="dd/MM/yyyy"/>
                  <w:lid w:val="he-IL"/>
                  <w:storeMappedDataAs w:val="dateTime"/>
                  <w:calendar w:val="gregorian"/>
                </w:date>
              </w:sdtPr>
              <w:sdtEndPr/>
              <w:sdtContent>
                <w:tc>
                  <w:tcPr>
                    <w:tcW w:w="5000" w:type="pct"/>
                    <w:vAlign w:val="center"/>
                  </w:tcPr>
                  <w:p w14:paraId="70690B3A" w14:textId="5BD3B2B7" w:rsidR="00EB5588" w:rsidRPr="00BA63B1" w:rsidRDefault="004A61DF" w:rsidP="00F26CA2">
                    <w:pPr>
                      <w:pStyle w:val="NoSpacing"/>
                      <w:jc w:val="center"/>
                      <w:rPr>
                        <w:rFonts w:ascii="Alef" w:hAnsi="Alef" w:cs="Alef"/>
                        <w:b/>
                        <w:bCs/>
                        <w:rtl/>
                        <w:cs/>
                      </w:rPr>
                    </w:pPr>
                    <w:r>
                      <w:rPr>
                        <w:rFonts w:ascii="Alef" w:hAnsi="Alef" w:cs="Alef" w:hint="cs"/>
                        <w:b/>
                        <w:bCs/>
                        <w:rtl/>
                      </w:rPr>
                      <w:t>‏15/06/2022</w:t>
                    </w:r>
                  </w:p>
                </w:tc>
              </w:sdtContent>
            </w:sdt>
          </w:tr>
        </w:tbl>
        <w:p w14:paraId="2F053D1C" w14:textId="77777777" w:rsidR="00EB5588" w:rsidRPr="00BA63B1" w:rsidRDefault="00EB5588" w:rsidP="00EB5588">
          <w:pPr>
            <w:rPr>
              <w:rFonts w:ascii="Alef" w:hAnsi="Alef" w:cs="Alef"/>
              <w:b/>
              <w:bCs/>
              <w:rtl/>
            </w:rPr>
          </w:pPr>
        </w:p>
        <w:p w14:paraId="77061FF4" w14:textId="77777777" w:rsidR="00EB5588" w:rsidRPr="00BA63B1" w:rsidRDefault="00EB5588" w:rsidP="00EB5588">
          <w:pPr>
            <w:ind w:left="1440"/>
            <w:rPr>
              <w:rFonts w:ascii="Alef" w:hAnsi="Alef" w:cs="Alef"/>
              <w:b/>
              <w:bCs/>
              <w:sz w:val="28"/>
              <w:szCs w:val="28"/>
              <w:rtl/>
            </w:rPr>
          </w:pPr>
        </w:p>
        <w:p w14:paraId="4104CA1A" w14:textId="71D7A923" w:rsidR="00EB5588" w:rsidRPr="00BA63B1" w:rsidRDefault="00EB5588" w:rsidP="003F3817">
          <w:pPr>
            <w:rPr>
              <w:rFonts w:ascii="Alef" w:hAnsi="Alef" w:cs="Alef"/>
              <w:b/>
              <w:bCs/>
              <w:sz w:val="28"/>
              <w:szCs w:val="28"/>
              <w:rtl/>
              <w:cs/>
            </w:rPr>
          </w:pPr>
          <w:r w:rsidRPr="00BA63B1">
            <w:rPr>
              <w:rFonts w:ascii="Alef" w:hAnsi="Alef" w:cs="Alef"/>
              <w:b/>
              <w:bCs/>
              <w:sz w:val="28"/>
              <w:szCs w:val="28"/>
              <w:u w:val="single"/>
              <w:rtl/>
            </w:rPr>
            <w:t>עור</w:t>
          </w:r>
          <w:r w:rsidR="00AA4AA7">
            <w:rPr>
              <w:rFonts w:ascii="Alef" w:hAnsi="Alef" w:cs="Alef" w:hint="cs"/>
              <w:b/>
              <w:bCs/>
              <w:sz w:val="28"/>
              <w:szCs w:val="28"/>
              <w:u w:val="single"/>
              <w:rtl/>
            </w:rPr>
            <w:t>ך הדו"ח</w:t>
          </w:r>
          <w:r w:rsidRPr="00BA63B1">
            <w:rPr>
              <w:rFonts w:ascii="Alef" w:hAnsi="Alef" w:cs="Alef"/>
              <w:b/>
              <w:bCs/>
              <w:sz w:val="28"/>
              <w:szCs w:val="28"/>
              <w:rtl/>
            </w:rPr>
            <w:t xml:space="preserve">: </w:t>
          </w:r>
          <w:r w:rsidR="00AA4AA7">
            <w:rPr>
              <w:rFonts w:ascii="Alef" w:hAnsi="Alef" w:cs="Alef" w:hint="cs"/>
              <w:b/>
              <w:bCs/>
              <w:sz w:val="28"/>
              <w:szCs w:val="28"/>
              <w:rtl/>
            </w:rPr>
            <w:t>עו"ד איל שפירא</w:t>
          </w:r>
        </w:p>
        <w:p w14:paraId="6FCA2806" w14:textId="77777777" w:rsidR="00EB5588" w:rsidRPr="00BA63B1" w:rsidRDefault="00EB5588" w:rsidP="00EB5588">
          <w:pPr>
            <w:rPr>
              <w:rFonts w:ascii="Alef" w:hAnsi="Alef" w:cs="Alef"/>
              <w:rtl/>
              <w:cs/>
            </w:rPr>
          </w:pPr>
        </w:p>
        <w:p w14:paraId="396E738E" w14:textId="77777777" w:rsidR="00EB5588" w:rsidRPr="00BA63B1" w:rsidRDefault="00EB5588" w:rsidP="00EB5588">
          <w:pPr>
            <w:rPr>
              <w:rFonts w:ascii="Alef" w:hAnsi="Alef" w:cs="Alef"/>
              <w:rtl/>
              <w:cs/>
            </w:rPr>
          </w:pPr>
        </w:p>
        <w:p w14:paraId="5D53CE59" w14:textId="77777777" w:rsidR="00EB5588" w:rsidRPr="00BA63B1" w:rsidRDefault="00EB5588" w:rsidP="00EB5588">
          <w:pPr>
            <w:bidi w:val="0"/>
            <w:rPr>
              <w:rFonts w:ascii="Alef" w:eastAsiaTheme="majorEastAsia" w:hAnsi="Alef" w:cs="Alef"/>
              <w:sz w:val="72"/>
              <w:szCs w:val="72"/>
            </w:rPr>
          </w:pPr>
          <w:r w:rsidRPr="00BA63B1">
            <w:rPr>
              <w:rFonts w:ascii="Alef" w:eastAsiaTheme="majorEastAsia" w:hAnsi="Alef" w:cs="Alef"/>
              <w:sz w:val="72"/>
              <w:szCs w:val="72"/>
              <w:rtl/>
            </w:rPr>
            <w:br w:type="page"/>
          </w:r>
        </w:p>
      </w:sdtContent>
    </w:sdt>
    <w:p w14:paraId="73201C46" w14:textId="4B9AD2D9" w:rsidR="00EB5588" w:rsidRPr="00BA63B1" w:rsidRDefault="00EB5588" w:rsidP="00F301EF">
      <w:pPr>
        <w:pStyle w:val="Heading1"/>
        <w:rPr>
          <w:rFonts w:ascii="Alef" w:hAnsi="Alef" w:cs="Alef"/>
          <w:b/>
          <w:bCs/>
          <w:color w:val="auto"/>
          <w:sz w:val="28"/>
          <w:szCs w:val="28"/>
          <w:rtl/>
        </w:rPr>
      </w:pPr>
      <w:r w:rsidRPr="00BA63B1">
        <w:rPr>
          <w:rFonts w:ascii="Alef" w:hAnsi="Alef" w:cs="Alef"/>
          <w:b/>
          <w:bCs/>
          <w:color w:val="auto"/>
          <w:sz w:val="28"/>
          <w:szCs w:val="28"/>
          <w:rtl/>
        </w:rPr>
        <w:lastRenderedPageBreak/>
        <w:t>רקע – פטורי סוג</w:t>
      </w:r>
    </w:p>
    <w:p w14:paraId="31E99182" w14:textId="637BEDC5" w:rsidR="00EB5588" w:rsidRPr="00BA63B1" w:rsidRDefault="00EB5588" w:rsidP="00EB5588">
      <w:pPr>
        <w:jc w:val="both"/>
        <w:rPr>
          <w:rFonts w:ascii="Alef" w:hAnsi="Alef" w:cs="Alef"/>
          <w:sz w:val="24"/>
          <w:szCs w:val="24"/>
          <w:rtl/>
        </w:rPr>
      </w:pPr>
      <w:r w:rsidRPr="00BA63B1">
        <w:rPr>
          <w:rFonts w:ascii="Alef" w:hAnsi="Alef" w:cs="Alef"/>
          <w:sz w:val="24"/>
          <w:szCs w:val="24"/>
          <w:rtl/>
        </w:rPr>
        <w:t xml:space="preserve">חוק התחרות הכלכלית, התשמ"ח-1988 (להלן </w:t>
      </w:r>
      <w:r w:rsidRPr="00BA63B1">
        <w:rPr>
          <w:rFonts w:ascii="Alef" w:hAnsi="Alef" w:cs="Alef"/>
          <w:b/>
          <w:bCs/>
          <w:sz w:val="24"/>
          <w:szCs w:val="24"/>
          <w:rtl/>
        </w:rPr>
        <w:t>החוק</w:t>
      </w:r>
      <w:r w:rsidRPr="00BA63B1">
        <w:rPr>
          <w:rFonts w:ascii="Alef" w:hAnsi="Alef" w:cs="Alef"/>
          <w:sz w:val="24"/>
          <w:szCs w:val="24"/>
          <w:rtl/>
        </w:rPr>
        <w:t xml:space="preserve">) אוסר על </w:t>
      </w:r>
      <w:r w:rsidR="00475327">
        <w:rPr>
          <w:rFonts w:ascii="Alef" w:hAnsi="Alef" w:cs="Alef" w:hint="cs"/>
          <w:sz w:val="24"/>
          <w:szCs w:val="24"/>
          <w:rtl/>
        </w:rPr>
        <w:t>היות צד</w:t>
      </w:r>
      <w:r w:rsidR="00475327" w:rsidRPr="00BA63B1">
        <w:rPr>
          <w:rFonts w:ascii="Alef" w:hAnsi="Alef" w:cs="Alef"/>
          <w:sz w:val="24"/>
          <w:szCs w:val="24"/>
          <w:rtl/>
        </w:rPr>
        <w:t xml:space="preserve"> </w:t>
      </w:r>
      <w:r w:rsidR="00475327">
        <w:rPr>
          <w:rFonts w:ascii="Alef" w:hAnsi="Alef" w:cs="Alef" w:hint="cs"/>
          <w:sz w:val="24"/>
          <w:szCs w:val="24"/>
          <w:rtl/>
        </w:rPr>
        <w:t>ל</w:t>
      </w:r>
      <w:r w:rsidRPr="00BA63B1">
        <w:rPr>
          <w:rFonts w:ascii="Alef" w:hAnsi="Alef" w:cs="Alef"/>
          <w:sz w:val="24"/>
          <w:szCs w:val="24"/>
          <w:rtl/>
        </w:rPr>
        <w:t xml:space="preserve">הסדר כובל בלא אישור או היתר (להלן </w:t>
      </w:r>
      <w:r w:rsidRPr="00BA63B1">
        <w:rPr>
          <w:rFonts w:ascii="Alef" w:hAnsi="Alef" w:cs="Alef"/>
          <w:b/>
          <w:bCs/>
          <w:sz w:val="24"/>
          <w:szCs w:val="24"/>
          <w:rtl/>
        </w:rPr>
        <w:t>אישור</w:t>
      </w:r>
      <w:r w:rsidRPr="00BA63B1">
        <w:rPr>
          <w:rFonts w:ascii="Alef" w:hAnsi="Alef" w:cs="Alef"/>
          <w:sz w:val="24"/>
          <w:szCs w:val="24"/>
          <w:rtl/>
        </w:rPr>
        <w:t xml:space="preserve">) מבית הדין לתחרות או פטור מהממונה על התחרות (להלן </w:t>
      </w:r>
      <w:r w:rsidRPr="00BA63B1">
        <w:rPr>
          <w:rFonts w:ascii="Alef" w:hAnsi="Alef" w:cs="Alef"/>
          <w:b/>
          <w:bCs/>
          <w:sz w:val="24"/>
          <w:szCs w:val="24"/>
          <w:rtl/>
        </w:rPr>
        <w:t>הממונה</w:t>
      </w:r>
      <w:r w:rsidRPr="00BA63B1">
        <w:rPr>
          <w:rFonts w:ascii="Alef" w:hAnsi="Alef" w:cs="Alef"/>
          <w:sz w:val="24"/>
          <w:szCs w:val="24"/>
          <w:rtl/>
        </w:rPr>
        <w:t xml:space="preserve">). </w:t>
      </w:r>
    </w:p>
    <w:p w14:paraId="687FE73D" w14:textId="292BD5D0" w:rsidR="00EB5588" w:rsidRPr="00BA63B1" w:rsidRDefault="00EB5588" w:rsidP="00EB5588">
      <w:pPr>
        <w:jc w:val="both"/>
        <w:rPr>
          <w:rFonts w:ascii="Alef" w:hAnsi="Alef" w:cs="Alef"/>
          <w:sz w:val="24"/>
          <w:szCs w:val="24"/>
          <w:rtl/>
        </w:rPr>
      </w:pPr>
      <w:r w:rsidRPr="00BA63B1">
        <w:rPr>
          <w:rFonts w:ascii="Alef" w:hAnsi="Alef" w:cs="Alef"/>
          <w:sz w:val="24"/>
          <w:szCs w:val="24"/>
          <w:rtl/>
        </w:rPr>
        <w:t>החוק מגדיר הסדר כובל בצורה רחבה, כהסדר בין בני אדם המנהלים עסקים שעלול לפגוע בתחרות</w:t>
      </w:r>
      <w:r w:rsidR="00F301EF" w:rsidRPr="00BA63B1">
        <w:rPr>
          <w:rFonts w:ascii="Alef" w:hAnsi="Alef" w:cs="Alef"/>
          <w:sz w:val="24"/>
          <w:szCs w:val="24"/>
          <w:rtl/>
        </w:rPr>
        <w:t xml:space="preserve"> (ס' 2(א) לחוק)</w:t>
      </w:r>
      <w:r w:rsidRPr="00BA63B1">
        <w:rPr>
          <w:rFonts w:ascii="Alef" w:hAnsi="Alef" w:cs="Alef"/>
          <w:sz w:val="24"/>
          <w:szCs w:val="24"/>
          <w:rtl/>
        </w:rPr>
        <w:t xml:space="preserve">. החוק מוסיף וקובע כי יראו כהסדרים כובלים הסדרים הכוללים כבילה הנוגעת למחיר, ריווח, חלוקת שוק או </w:t>
      </w:r>
      <w:r w:rsidR="00AE07CE">
        <w:rPr>
          <w:rFonts w:ascii="Alef" w:hAnsi="Alef" w:cs="Alef" w:hint="cs"/>
          <w:sz w:val="24"/>
          <w:szCs w:val="24"/>
          <w:rtl/>
        </w:rPr>
        <w:t>לכ</w:t>
      </w:r>
      <w:r w:rsidRPr="00BA63B1">
        <w:rPr>
          <w:rFonts w:ascii="Alef" w:hAnsi="Alef" w:cs="Alef"/>
          <w:sz w:val="24"/>
          <w:szCs w:val="24"/>
          <w:rtl/>
        </w:rPr>
        <w:t>מות הנכסים או השירותים שיסופקו, איכותם או סוגם</w:t>
      </w:r>
      <w:r w:rsidR="00F301EF" w:rsidRPr="00BA63B1">
        <w:rPr>
          <w:rFonts w:ascii="Alef" w:hAnsi="Alef" w:cs="Alef"/>
          <w:sz w:val="24"/>
          <w:szCs w:val="24"/>
          <w:rtl/>
        </w:rPr>
        <w:t xml:space="preserve"> (ס' 2(ב) לחוק)</w:t>
      </w:r>
      <w:r w:rsidRPr="00BA63B1">
        <w:rPr>
          <w:rFonts w:ascii="Alef" w:hAnsi="Alef" w:cs="Alef"/>
          <w:sz w:val="24"/>
          <w:szCs w:val="24"/>
          <w:rtl/>
        </w:rPr>
        <w:t>.</w:t>
      </w:r>
    </w:p>
    <w:p w14:paraId="0DD70626" w14:textId="316EF80F" w:rsidR="00EB5588" w:rsidRPr="00BA63B1" w:rsidRDefault="00EB5588" w:rsidP="002B51C5">
      <w:pPr>
        <w:jc w:val="both"/>
        <w:rPr>
          <w:rFonts w:ascii="Alef" w:hAnsi="Alef" w:cs="Alef"/>
          <w:sz w:val="24"/>
          <w:szCs w:val="24"/>
          <w:rtl/>
        </w:rPr>
      </w:pPr>
      <w:r w:rsidRPr="00BA63B1">
        <w:rPr>
          <w:rFonts w:ascii="Alef" w:hAnsi="Alef" w:cs="Alef"/>
          <w:sz w:val="24"/>
          <w:szCs w:val="24"/>
          <w:rtl/>
        </w:rPr>
        <w:t xml:space="preserve">עת נחקק החוק בשנת 1988, מערך הפיקוח על הסדרים כובלים היה של רישוי מראש בלבד. בהתאם למערך פיקוח זה כל הסדר שנתפס בגדר ההגדרה הרחבה של הסדר כובל נדרש לקבל אישור מבית הדין לתחרות או פטור פרטני מהממונה. </w:t>
      </w:r>
    </w:p>
    <w:p w14:paraId="7021C3E3" w14:textId="77777777" w:rsidR="00F269D6" w:rsidRPr="00BA63B1" w:rsidRDefault="00EB5588" w:rsidP="00EB5588">
      <w:pPr>
        <w:jc w:val="both"/>
        <w:rPr>
          <w:rFonts w:ascii="Alef" w:hAnsi="Alef" w:cs="Alef"/>
          <w:sz w:val="24"/>
          <w:szCs w:val="24"/>
          <w:rtl/>
        </w:rPr>
      </w:pPr>
      <w:r w:rsidRPr="00BA63B1">
        <w:rPr>
          <w:rFonts w:ascii="Alef" w:hAnsi="Alef" w:cs="Alef"/>
          <w:sz w:val="24"/>
          <w:szCs w:val="24"/>
          <w:rtl/>
        </w:rPr>
        <w:t xml:space="preserve">בשנת 2000 מדינת ישראל הלכה כברת דרך ממערך פיקוח של רישוי מראש בלבד אל עבר אסדרה מסוג בחינה עצמית - באמצעות הוספת מנגנון פטורי הסוג לחוק – וזאת לצד אכיפה בדיעבד במידת הצורך. </w:t>
      </w:r>
    </w:p>
    <w:p w14:paraId="1D5BB471" w14:textId="795885B5" w:rsidR="00A20298" w:rsidRPr="00BA63B1" w:rsidRDefault="00EB5588" w:rsidP="00C36D21">
      <w:pPr>
        <w:jc w:val="both"/>
        <w:rPr>
          <w:rFonts w:ascii="Alef" w:hAnsi="Alef" w:cs="Alef"/>
          <w:sz w:val="24"/>
          <w:szCs w:val="24"/>
          <w:rtl/>
        </w:rPr>
      </w:pPr>
      <w:r w:rsidRPr="00BA63B1">
        <w:rPr>
          <w:rFonts w:ascii="Alef" w:hAnsi="Alef" w:cs="Alef"/>
          <w:sz w:val="24"/>
          <w:szCs w:val="24"/>
          <w:rtl/>
        </w:rPr>
        <w:t>פטורי סוג, כשמם כן הם, פוטרים את הצדדים להסדר מן הצורך בקבלת היתר מראש וזאת ביחס לסוגי הסכמי</w:t>
      </w:r>
      <w:r w:rsidR="002C1A8F" w:rsidRPr="00BA63B1">
        <w:rPr>
          <w:rFonts w:ascii="Alef" w:hAnsi="Alef" w:cs="Alef"/>
          <w:sz w:val="24"/>
          <w:szCs w:val="24"/>
          <w:rtl/>
        </w:rPr>
        <w:t>ם מסוימים</w:t>
      </w:r>
      <w:r w:rsidRPr="00BA63B1">
        <w:rPr>
          <w:rFonts w:ascii="Alef" w:hAnsi="Alef" w:cs="Alef"/>
          <w:sz w:val="24"/>
          <w:szCs w:val="24"/>
          <w:rtl/>
        </w:rPr>
        <w:t xml:space="preserve"> ובעמי</w:t>
      </w:r>
      <w:r w:rsidR="002C1A8F" w:rsidRPr="00BA63B1">
        <w:rPr>
          <w:rFonts w:ascii="Alef" w:hAnsi="Alef" w:cs="Alef"/>
          <w:sz w:val="24"/>
          <w:szCs w:val="24"/>
          <w:rtl/>
        </w:rPr>
        <w:t>דה בתנאים הקבועים בכל פטור סוג. הסדרים</w:t>
      </w:r>
      <w:r w:rsidR="001E46CF" w:rsidRPr="00BA63B1">
        <w:rPr>
          <w:rFonts w:ascii="Alef" w:hAnsi="Alef" w:cs="Alef"/>
          <w:sz w:val="24"/>
          <w:szCs w:val="24"/>
          <w:rtl/>
        </w:rPr>
        <w:t xml:space="preserve"> </w:t>
      </w:r>
      <w:r w:rsidR="00C36D21" w:rsidRPr="00BA63B1">
        <w:rPr>
          <w:rFonts w:ascii="Alef" w:hAnsi="Alef" w:cs="Alef"/>
          <w:sz w:val="24"/>
          <w:szCs w:val="24"/>
          <w:rtl/>
        </w:rPr>
        <w:t xml:space="preserve">מסוימים </w:t>
      </w:r>
      <w:r w:rsidR="001E46CF" w:rsidRPr="00BA63B1">
        <w:rPr>
          <w:rFonts w:ascii="Alef" w:hAnsi="Alef" w:cs="Alef"/>
          <w:sz w:val="24"/>
          <w:szCs w:val="24"/>
          <w:rtl/>
        </w:rPr>
        <w:t>אשר נלכדים תחת ההגדרה הרחבה של הסדר כובל אך</w:t>
      </w:r>
      <w:r w:rsidR="002C1A8F" w:rsidRPr="00BA63B1">
        <w:rPr>
          <w:rFonts w:ascii="Alef" w:hAnsi="Alef" w:cs="Alef"/>
          <w:sz w:val="24"/>
          <w:szCs w:val="24"/>
          <w:rtl/>
        </w:rPr>
        <w:t xml:space="preserve"> אינם פוגעים בתחרות פגיעה משמעותית, שעיקרם אינו בהפחתת התחרות ואין בהם כבילות שאינן נחוצות למימוש עיקרם</w:t>
      </w:r>
      <w:r w:rsidR="001E46CF" w:rsidRPr="00BA63B1">
        <w:rPr>
          <w:rFonts w:ascii="Alef" w:hAnsi="Alef" w:cs="Alef"/>
          <w:sz w:val="24"/>
          <w:szCs w:val="24"/>
          <w:rtl/>
        </w:rPr>
        <w:t xml:space="preserve"> יוכלו לחסות תחת פטור</w:t>
      </w:r>
      <w:r w:rsidR="00C36D21" w:rsidRPr="00BA63B1">
        <w:rPr>
          <w:rFonts w:ascii="Alef" w:hAnsi="Alef" w:cs="Alef"/>
          <w:sz w:val="24"/>
          <w:szCs w:val="24"/>
          <w:rtl/>
        </w:rPr>
        <w:t>י</w:t>
      </w:r>
      <w:r w:rsidR="001E46CF" w:rsidRPr="00BA63B1">
        <w:rPr>
          <w:rFonts w:ascii="Alef" w:hAnsi="Alef" w:cs="Alef"/>
          <w:sz w:val="24"/>
          <w:szCs w:val="24"/>
          <w:rtl/>
        </w:rPr>
        <w:t xml:space="preserve"> הסוג. באופן זה, שיתופי פעולה לגיטימי</w:t>
      </w:r>
      <w:r w:rsidR="00591ED3" w:rsidRPr="00BA63B1">
        <w:rPr>
          <w:rFonts w:ascii="Alef" w:hAnsi="Alef" w:cs="Alef"/>
          <w:sz w:val="24"/>
          <w:szCs w:val="24"/>
          <w:rtl/>
        </w:rPr>
        <w:t xml:space="preserve">ים ושכיחים יוכשרו ללא היתר מראש וזאת לטובת יצירת סביבה עסקית יעילה ודינמית. </w:t>
      </w:r>
    </w:p>
    <w:p w14:paraId="3666C000" w14:textId="245D8FDC" w:rsidR="00BA5AA4" w:rsidRPr="00BA63B1" w:rsidRDefault="00EB5588" w:rsidP="00EB5588">
      <w:pPr>
        <w:jc w:val="both"/>
        <w:rPr>
          <w:rFonts w:ascii="Alef" w:hAnsi="Alef" w:cs="Alef"/>
          <w:sz w:val="24"/>
          <w:szCs w:val="24"/>
          <w:rtl/>
        </w:rPr>
      </w:pPr>
      <w:r w:rsidRPr="00BA63B1">
        <w:rPr>
          <w:rFonts w:ascii="Alef" w:hAnsi="Alef" w:cs="Alef"/>
          <w:sz w:val="24"/>
          <w:szCs w:val="24"/>
          <w:rtl/>
        </w:rPr>
        <w:t xml:space="preserve">מקור ההשראה לשימוש בפטורי סוג הוא </w:t>
      </w:r>
      <w:r w:rsidR="0077614E">
        <w:rPr>
          <w:rFonts w:ascii="Alef" w:hAnsi="Alef" w:cs="Alef" w:hint="cs"/>
          <w:sz w:val="24"/>
          <w:szCs w:val="24"/>
          <w:rtl/>
        </w:rPr>
        <w:t>בדיני התחרות שחלים באיחוד האירופי</w:t>
      </w:r>
      <w:r w:rsidR="0077614E" w:rsidRPr="00BA63B1">
        <w:rPr>
          <w:rFonts w:ascii="Alef" w:hAnsi="Alef" w:cs="Alef"/>
          <w:sz w:val="24"/>
          <w:szCs w:val="24"/>
          <w:rtl/>
        </w:rPr>
        <w:t xml:space="preserve"> </w:t>
      </w:r>
      <w:r w:rsidRPr="00BA63B1">
        <w:rPr>
          <w:rFonts w:ascii="Alef" w:hAnsi="Alef" w:cs="Alef"/>
          <w:sz w:val="24"/>
          <w:szCs w:val="24"/>
          <w:rtl/>
        </w:rPr>
        <w:t xml:space="preserve">שם פטורי סוג מכונים </w:t>
      </w:r>
      <w:r w:rsidRPr="00BA63B1">
        <w:rPr>
          <w:rFonts w:ascii="Alef" w:hAnsi="Alef" w:cs="Alef"/>
          <w:sz w:val="24"/>
          <w:szCs w:val="24"/>
        </w:rPr>
        <w:t>Block Exemptions</w:t>
      </w:r>
      <w:r w:rsidRPr="00BA63B1">
        <w:rPr>
          <w:rFonts w:ascii="Alef" w:hAnsi="Alef" w:cs="Alef"/>
          <w:sz w:val="24"/>
          <w:szCs w:val="24"/>
          <w:rtl/>
        </w:rPr>
        <w:t xml:space="preserve">. </w:t>
      </w:r>
    </w:p>
    <w:p w14:paraId="0D13A45E" w14:textId="481E4B64" w:rsidR="00EB5588" w:rsidRPr="00BA63B1" w:rsidRDefault="00EB5588" w:rsidP="00EB5588">
      <w:pPr>
        <w:jc w:val="both"/>
        <w:rPr>
          <w:rFonts w:ascii="Alef" w:hAnsi="Alef" w:cs="Alef"/>
          <w:sz w:val="24"/>
          <w:szCs w:val="24"/>
          <w:rtl/>
        </w:rPr>
      </w:pPr>
      <w:r w:rsidRPr="00BA63B1">
        <w:rPr>
          <w:rFonts w:ascii="Alef" w:hAnsi="Alef" w:cs="Alef"/>
          <w:sz w:val="24"/>
          <w:szCs w:val="24"/>
          <w:rtl/>
        </w:rPr>
        <w:t>לצד האסדרה העצמית בדמות פטורי הסוג קיימת מערכת שמטרתה לפקח, לאתר ולאכוף הפרות של החוק</w:t>
      </w:r>
      <w:r w:rsidR="0077614E">
        <w:rPr>
          <w:rFonts w:ascii="Alef" w:hAnsi="Alef" w:cs="Alef" w:hint="cs"/>
          <w:sz w:val="24"/>
          <w:szCs w:val="24"/>
          <w:rtl/>
        </w:rPr>
        <w:t xml:space="preserve"> באמצעות ענישה פלילית ועיצומים כספיים</w:t>
      </w:r>
      <w:r w:rsidRPr="00BA63B1">
        <w:rPr>
          <w:rFonts w:ascii="Alef" w:hAnsi="Alef" w:cs="Alef"/>
          <w:sz w:val="24"/>
          <w:szCs w:val="24"/>
          <w:rtl/>
        </w:rPr>
        <w:t xml:space="preserve">.   </w:t>
      </w:r>
    </w:p>
    <w:p w14:paraId="45956557" w14:textId="77777777" w:rsidR="00EB5588" w:rsidRPr="00BA63B1" w:rsidRDefault="00EB5588" w:rsidP="00EB5588">
      <w:pPr>
        <w:jc w:val="both"/>
        <w:rPr>
          <w:rFonts w:ascii="Alef" w:hAnsi="Alef" w:cs="Alef"/>
          <w:sz w:val="24"/>
          <w:szCs w:val="24"/>
          <w:rtl/>
        </w:rPr>
      </w:pPr>
      <w:r w:rsidRPr="00BA63B1">
        <w:rPr>
          <w:rFonts w:ascii="Alef" w:hAnsi="Alef" w:cs="Alef"/>
          <w:sz w:val="24"/>
          <w:szCs w:val="24"/>
          <w:rtl/>
        </w:rPr>
        <w:t>מנגנון פטורי הסוג עוגן בסעיף 15א לחוק כחלק מתיקון מס' 6 לחוק משנת 2000.</w:t>
      </w:r>
      <w:r w:rsidRPr="00BA63B1">
        <w:rPr>
          <w:rStyle w:val="FootnoteReference"/>
          <w:rFonts w:ascii="Alef" w:hAnsi="Alef" w:cs="Alef"/>
          <w:sz w:val="24"/>
          <w:szCs w:val="24"/>
          <w:rtl/>
        </w:rPr>
        <w:footnoteReference w:id="1"/>
      </w:r>
      <w:r w:rsidRPr="00BA63B1">
        <w:rPr>
          <w:rFonts w:ascii="Alef" w:hAnsi="Alef" w:cs="Alef"/>
          <w:sz w:val="24"/>
          <w:szCs w:val="24"/>
          <w:rtl/>
        </w:rPr>
        <w:t xml:space="preserve"> תכליתו של המנגנון, שהיה פרי יוזמת הרשות, הייתה התאמת מודל הפיקוח הקיים בחוק לצרכים המתהווים במשק דינמי עתיר עסקאות ויצירת פיקוח גמיש באמצעות הגדרת סוגי הסדרים שלא יצריכו היתר מראש. </w:t>
      </w:r>
    </w:p>
    <w:p w14:paraId="0F5DA77B" w14:textId="77777777" w:rsidR="00EB5588" w:rsidRPr="00BA63B1" w:rsidRDefault="00EB5588" w:rsidP="00EB5588">
      <w:pPr>
        <w:jc w:val="both"/>
        <w:rPr>
          <w:rFonts w:ascii="Alef" w:hAnsi="Alef" w:cs="Alef"/>
          <w:sz w:val="24"/>
          <w:szCs w:val="24"/>
          <w:rtl/>
        </w:rPr>
      </w:pPr>
      <w:r w:rsidRPr="00BA63B1">
        <w:rPr>
          <w:rFonts w:ascii="Alef" w:hAnsi="Alef" w:cs="Alef"/>
          <w:sz w:val="24"/>
          <w:szCs w:val="24"/>
          <w:rtl/>
        </w:rPr>
        <w:t>יתרונות המהלך תוארו בדברי ההסבר להצעת החוק הממשלתית</w:t>
      </w:r>
      <w:r w:rsidRPr="00BA63B1">
        <w:rPr>
          <w:rStyle w:val="FootnoteReference"/>
          <w:rFonts w:ascii="Alef" w:hAnsi="Alef" w:cs="Alef"/>
          <w:sz w:val="24"/>
          <w:szCs w:val="24"/>
          <w:rtl/>
        </w:rPr>
        <w:footnoteReference w:id="2"/>
      </w:r>
      <w:r w:rsidRPr="00BA63B1">
        <w:rPr>
          <w:rFonts w:ascii="Alef" w:hAnsi="Alef" w:cs="Alef"/>
          <w:sz w:val="24"/>
          <w:szCs w:val="24"/>
          <w:rtl/>
        </w:rPr>
        <w:t xml:space="preserve"> - "באופן זה ימוזערו עלויות העסקה, יקוצרו פרקי הזמן לקבלת אישור רשות ההגבלים העסקיים והעיקר – תושג </w:t>
      </w:r>
      <w:r w:rsidRPr="00BA63B1">
        <w:rPr>
          <w:rFonts w:ascii="Alef" w:hAnsi="Alef" w:cs="Alef"/>
          <w:sz w:val="24"/>
          <w:szCs w:val="24"/>
          <w:rtl/>
        </w:rPr>
        <w:lastRenderedPageBreak/>
        <w:t xml:space="preserve">אכוונה נורמטיבית כללית וטובה יותר של ציבור מנהלי העסקים בדבר הדרך החוקית, בהיבט דיני התחרות, לביצוע סוגים קונקרטיים של עסקאות ששכיחותן גבוהה, כגון הסכמי בלעדיות שונים, מיזמים משותפים למחקר ופיתוח והסכמי הפצה." </w:t>
      </w:r>
    </w:p>
    <w:p w14:paraId="36A7C555" w14:textId="0B2C7E6C" w:rsidR="00EB5588" w:rsidRPr="00BA63B1" w:rsidRDefault="00EB5588" w:rsidP="00FB40B9">
      <w:pPr>
        <w:jc w:val="both"/>
        <w:rPr>
          <w:rFonts w:ascii="Alef" w:hAnsi="Alef" w:cs="Alef"/>
          <w:sz w:val="24"/>
          <w:szCs w:val="24"/>
          <w:rtl/>
        </w:rPr>
      </w:pPr>
      <w:r w:rsidRPr="00BA63B1">
        <w:rPr>
          <w:rFonts w:ascii="Alef" w:hAnsi="Alef" w:cs="Alef"/>
          <w:sz w:val="24"/>
          <w:szCs w:val="24"/>
          <w:rtl/>
        </w:rPr>
        <w:t>סעיף 15א לחוק הקנה לממונה סמכות לקבוע כי סוגים מסוימים של הסדרים כובלים מותרים ואינם חייבים בפניה פרטנית לקבלת פטור או אישור. זאת</w:t>
      </w:r>
      <w:r w:rsidR="00FB40B9" w:rsidRPr="00BA63B1">
        <w:rPr>
          <w:rFonts w:ascii="Alef" w:hAnsi="Alef" w:cs="Alef"/>
          <w:sz w:val="24"/>
          <w:szCs w:val="24"/>
          <w:rtl/>
        </w:rPr>
        <w:t>,</w:t>
      </w:r>
      <w:r w:rsidRPr="00BA63B1">
        <w:rPr>
          <w:rFonts w:ascii="Alef" w:hAnsi="Alef" w:cs="Alef"/>
          <w:sz w:val="24"/>
          <w:szCs w:val="24"/>
          <w:rtl/>
        </w:rPr>
        <w:t xml:space="preserve"> </w:t>
      </w:r>
      <w:r w:rsidR="00FB40B9" w:rsidRPr="00BA63B1">
        <w:rPr>
          <w:rFonts w:ascii="Alef" w:hAnsi="Alef" w:cs="Alef"/>
          <w:sz w:val="24"/>
          <w:szCs w:val="24"/>
          <w:rtl/>
        </w:rPr>
        <w:t>כש</w:t>
      </w:r>
      <w:r w:rsidRPr="00BA63B1">
        <w:rPr>
          <w:rFonts w:ascii="Alef" w:hAnsi="Alef" w:cs="Alef"/>
          <w:sz w:val="24"/>
          <w:szCs w:val="24"/>
          <w:rtl/>
        </w:rPr>
        <w:t xml:space="preserve">מדובר בהסדרים כובלים שאינם פוגעים בתחרות פגיעה משמעותית, שעיקרם אינו בהפחתת או מניעת התחרות, ואין בהם כבילות שאינן נחוצות למימוש עיקרם. </w:t>
      </w:r>
    </w:p>
    <w:p w14:paraId="5D4A0D7E" w14:textId="77777777" w:rsidR="00EB5588" w:rsidRPr="00BA63B1" w:rsidRDefault="00EB5588" w:rsidP="00EB5588">
      <w:pPr>
        <w:jc w:val="both"/>
        <w:rPr>
          <w:rFonts w:ascii="Alef" w:hAnsi="Alef" w:cs="Alef"/>
          <w:sz w:val="24"/>
          <w:szCs w:val="24"/>
          <w:rtl/>
        </w:rPr>
      </w:pPr>
      <w:r w:rsidRPr="00BA63B1">
        <w:rPr>
          <w:rFonts w:ascii="Alef" w:hAnsi="Alef" w:cs="Alef"/>
          <w:sz w:val="24"/>
          <w:szCs w:val="24"/>
          <w:rtl/>
        </w:rPr>
        <w:t xml:space="preserve">התקנת כללי פטור סוג מותנית באישור הועדה לפטורים ומיזוגים ובחתימת שר הכלכלה, ותוקפם הוא עד 5 שנים. ניתן לחדש ולתקן את פטורי הסוג מעת לעת לתקופות נוספות שלא יעלו על חמש שנים בכל פעם. </w:t>
      </w:r>
    </w:p>
    <w:p w14:paraId="7F55240A" w14:textId="331C4EB6" w:rsidR="00232123" w:rsidRPr="00BA63B1" w:rsidRDefault="00232123" w:rsidP="00232123">
      <w:pPr>
        <w:jc w:val="both"/>
        <w:rPr>
          <w:rFonts w:ascii="Alef" w:hAnsi="Alef" w:cs="Alef"/>
          <w:sz w:val="24"/>
          <w:szCs w:val="24"/>
          <w:rtl/>
        </w:rPr>
      </w:pPr>
      <w:r w:rsidRPr="00BA63B1">
        <w:rPr>
          <w:rFonts w:ascii="Alef" w:hAnsi="Alef" w:cs="Alef"/>
          <w:sz w:val="24"/>
          <w:szCs w:val="24"/>
          <w:rtl/>
        </w:rPr>
        <w:t>הגבלת תוקפם של פטורי הסוג לחמש שנים לצד הסמכות לתקנם מעת לעת ולחדשם נועדה לשם בחינה תקופתית בדבר נחיצותם ותפקודם של פטורי הסוג</w:t>
      </w:r>
      <w:r w:rsidR="00722670" w:rsidRPr="00BA63B1">
        <w:rPr>
          <w:rFonts w:ascii="Alef" w:hAnsi="Alef" w:cs="Alef"/>
          <w:sz w:val="24"/>
          <w:szCs w:val="24"/>
          <w:rtl/>
        </w:rPr>
        <w:t>, כמו גם בחינת התאמתם של הוראות הפטורים למציאות העסקית המשתנה</w:t>
      </w:r>
      <w:r w:rsidRPr="00BA63B1">
        <w:rPr>
          <w:rFonts w:ascii="Alef" w:hAnsi="Alef" w:cs="Alef"/>
          <w:sz w:val="24"/>
          <w:szCs w:val="24"/>
          <w:rtl/>
        </w:rPr>
        <w:t xml:space="preserve">. </w:t>
      </w:r>
    </w:p>
    <w:p w14:paraId="5A56FDA2" w14:textId="53850E51" w:rsidR="002C2CDF" w:rsidRPr="002C2CDF" w:rsidRDefault="002C2CDF" w:rsidP="008F5867">
      <w:pPr>
        <w:jc w:val="both"/>
        <w:rPr>
          <w:rFonts w:ascii="Alef" w:hAnsi="Alef" w:cs="Alef"/>
          <w:sz w:val="24"/>
          <w:szCs w:val="24"/>
          <w:rtl/>
        </w:rPr>
      </w:pPr>
      <w:r w:rsidRPr="002C2CDF">
        <w:rPr>
          <w:rFonts w:ascii="Alef" w:hAnsi="Alef" w:cs="Alef" w:hint="cs"/>
          <w:sz w:val="24"/>
          <w:szCs w:val="24"/>
          <w:rtl/>
        </w:rPr>
        <w:t xml:space="preserve">פטור הסוג </w:t>
      </w:r>
      <w:r w:rsidR="008753D7" w:rsidRPr="008753D7">
        <w:rPr>
          <w:rFonts w:ascii="Alef" w:hAnsi="Alef" w:cs="Alef" w:hint="cs"/>
          <w:sz w:val="24"/>
          <w:szCs w:val="24"/>
          <w:rtl/>
        </w:rPr>
        <w:t xml:space="preserve">להסדרים תפעוליים שעניינם תובלה בין-לאומית בים (הוראת שעה), </w:t>
      </w:r>
      <w:r w:rsidR="00BE533A">
        <w:rPr>
          <w:rFonts w:ascii="Alef" w:hAnsi="Alef" w:cs="Alef" w:hint="cs"/>
          <w:sz w:val="24"/>
          <w:szCs w:val="24"/>
          <w:rtl/>
        </w:rPr>
        <w:t>ה</w:t>
      </w:r>
      <w:r w:rsidR="008753D7" w:rsidRPr="008753D7">
        <w:rPr>
          <w:rFonts w:ascii="Alef" w:hAnsi="Alef" w:cs="Alef" w:hint="cs"/>
          <w:sz w:val="24"/>
          <w:szCs w:val="24"/>
          <w:rtl/>
        </w:rPr>
        <w:t>תשע"ג-2012</w:t>
      </w:r>
      <w:r w:rsidR="000C1436">
        <w:rPr>
          <w:rFonts w:ascii="Alef" w:hAnsi="Alef" w:cs="Alef" w:hint="cs"/>
          <w:sz w:val="24"/>
          <w:szCs w:val="24"/>
          <w:rtl/>
        </w:rPr>
        <w:t xml:space="preserve"> ("</w:t>
      </w:r>
      <w:r w:rsidR="000C1436" w:rsidRPr="000C1436">
        <w:rPr>
          <w:rFonts w:ascii="Alef" w:hAnsi="Alef" w:cs="Alef" w:hint="cs"/>
          <w:b/>
          <w:bCs/>
          <w:sz w:val="24"/>
          <w:szCs w:val="24"/>
          <w:rtl/>
        </w:rPr>
        <w:t>פטור הסוג הימי</w:t>
      </w:r>
      <w:r w:rsidR="000C1436">
        <w:rPr>
          <w:rFonts w:ascii="Alef" w:hAnsi="Alef" w:cs="Alef" w:hint="cs"/>
          <w:sz w:val="24"/>
          <w:szCs w:val="24"/>
          <w:rtl/>
        </w:rPr>
        <w:t xml:space="preserve">"), </w:t>
      </w:r>
      <w:r w:rsidRPr="002C2CDF">
        <w:rPr>
          <w:rFonts w:ascii="Alef" w:hAnsi="Alef" w:cs="Alef" w:hint="cs"/>
          <w:sz w:val="24"/>
          <w:szCs w:val="24"/>
          <w:rtl/>
        </w:rPr>
        <w:t xml:space="preserve">נוגע לשיתופי פעולה תפעוליים בין חברות ספנות בהובלת מטען בקווי הפלגה הפוקדים נמלים לפי תכנון ידוע מראש, ובלוחות זמנים קבועים מראש. הסדרים תפעוליים כאלה בין חברות ספנות </w:t>
      </w:r>
      <w:r w:rsidR="008F5867">
        <w:rPr>
          <w:rFonts w:ascii="Alef" w:hAnsi="Alef" w:cs="Alef" w:hint="cs"/>
          <w:sz w:val="24"/>
          <w:szCs w:val="24"/>
          <w:rtl/>
        </w:rPr>
        <w:t>מ</w:t>
      </w:r>
      <w:r w:rsidRPr="002C2CDF">
        <w:rPr>
          <w:rFonts w:ascii="Alef" w:hAnsi="Alef" w:cs="Alef" w:hint="cs"/>
          <w:sz w:val="24"/>
          <w:szCs w:val="24"/>
          <w:rtl/>
        </w:rPr>
        <w:t>אפשר</w:t>
      </w:r>
      <w:r w:rsidR="008F5867">
        <w:rPr>
          <w:rFonts w:ascii="Alef" w:hAnsi="Alef" w:cs="Alef" w:hint="cs"/>
          <w:sz w:val="24"/>
          <w:szCs w:val="24"/>
          <w:rtl/>
        </w:rPr>
        <w:t>ים</w:t>
      </w:r>
      <w:r w:rsidRPr="002C2CDF">
        <w:rPr>
          <w:rFonts w:ascii="Alef" w:hAnsi="Alef" w:cs="Alef" w:hint="cs"/>
          <w:sz w:val="24"/>
          <w:szCs w:val="24"/>
          <w:rtl/>
        </w:rPr>
        <w:t xml:space="preserve"> מיצוי יתרונות לגודל, שהם משמעותיים בתחום התובלה הימית. כמו כן הסדרים אלה מאפשרים </w:t>
      </w:r>
      <w:r w:rsidR="000C1436">
        <w:rPr>
          <w:rFonts w:ascii="Alef" w:hAnsi="Alef" w:cs="Alef" w:hint="cs"/>
          <w:sz w:val="24"/>
          <w:szCs w:val="24"/>
          <w:rtl/>
        </w:rPr>
        <w:t xml:space="preserve">את </w:t>
      </w:r>
      <w:r w:rsidRPr="002C2CDF">
        <w:rPr>
          <w:rFonts w:ascii="Alef" w:hAnsi="Alef" w:cs="Alef" w:hint="cs"/>
          <w:sz w:val="24"/>
          <w:szCs w:val="24"/>
          <w:rtl/>
        </w:rPr>
        <w:t>הגדלת תדירות השירות בקו ושיפור השירות ללקוח העושה שימוש בהובלה ימית. פטור הסוג אינ</w:t>
      </w:r>
      <w:r w:rsidR="00114E01">
        <w:rPr>
          <w:rFonts w:ascii="Alef" w:hAnsi="Alef" w:cs="Alef" w:hint="cs"/>
          <w:sz w:val="24"/>
          <w:szCs w:val="24"/>
          <w:rtl/>
        </w:rPr>
        <w:t>ו</w:t>
      </w:r>
      <w:r w:rsidRPr="002C2CDF">
        <w:rPr>
          <w:rFonts w:ascii="Alef" w:hAnsi="Alef" w:cs="Alef" w:hint="cs"/>
          <w:sz w:val="24"/>
          <w:szCs w:val="24"/>
          <w:rtl/>
        </w:rPr>
        <w:t xml:space="preserve"> כולל</w:t>
      </w:r>
      <w:r w:rsidR="00114E01">
        <w:rPr>
          <w:rFonts w:ascii="Alef" w:hAnsi="Alef" w:cs="Alef" w:hint="cs"/>
          <w:sz w:val="24"/>
          <w:szCs w:val="24"/>
          <w:rtl/>
        </w:rPr>
        <w:t xml:space="preserve"> הסדרים שיש בהם</w:t>
      </w:r>
      <w:r w:rsidRPr="002C2CDF">
        <w:rPr>
          <w:rFonts w:ascii="Alef" w:hAnsi="Alef" w:cs="Alef" w:hint="cs"/>
          <w:sz w:val="24"/>
          <w:szCs w:val="24"/>
          <w:rtl/>
        </w:rPr>
        <w:t xml:space="preserve"> כבילות מחיר</w:t>
      </w:r>
      <w:r w:rsidR="00114E01">
        <w:rPr>
          <w:rFonts w:ascii="Alef" w:hAnsi="Alef" w:cs="Alef" w:hint="cs"/>
          <w:sz w:val="24"/>
          <w:szCs w:val="24"/>
          <w:rtl/>
        </w:rPr>
        <w:t>.</w:t>
      </w:r>
      <w:r w:rsidRPr="002C2CDF">
        <w:rPr>
          <w:rFonts w:ascii="Alef" w:hAnsi="Alef" w:cs="Alef" w:hint="cs"/>
          <w:sz w:val="24"/>
          <w:szCs w:val="24"/>
          <w:rtl/>
        </w:rPr>
        <w:t xml:space="preserve"> </w:t>
      </w:r>
      <w:r w:rsidR="00114E01">
        <w:rPr>
          <w:rFonts w:ascii="Alef" w:hAnsi="Alef" w:cs="Alef" w:hint="cs"/>
          <w:sz w:val="24"/>
          <w:szCs w:val="24"/>
          <w:rtl/>
        </w:rPr>
        <w:t>כלומר, נשמרת</w:t>
      </w:r>
      <w:r w:rsidRPr="002C2CDF">
        <w:rPr>
          <w:rFonts w:ascii="Alef" w:hAnsi="Alef" w:cs="Alef" w:hint="cs"/>
          <w:sz w:val="24"/>
          <w:szCs w:val="24"/>
          <w:rtl/>
        </w:rPr>
        <w:t xml:space="preserve"> </w:t>
      </w:r>
      <w:r w:rsidR="00114E01">
        <w:rPr>
          <w:rFonts w:ascii="Alef" w:hAnsi="Alef" w:cs="Alef" w:hint="cs"/>
          <w:sz w:val="24"/>
          <w:szCs w:val="24"/>
          <w:rtl/>
        </w:rPr>
        <w:t>ה</w:t>
      </w:r>
      <w:r w:rsidRPr="002C2CDF">
        <w:rPr>
          <w:rFonts w:ascii="Alef" w:hAnsi="Alef" w:cs="Alef" w:hint="cs"/>
          <w:sz w:val="24"/>
          <w:szCs w:val="24"/>
          <w:rtl/>
        </w:rPr>
        <w:t>עצמאות</w:t>
      </w:r>
      <w:r w:rsidR="00114E01">
        <w:rPr>
          <w:rFonts w:ascii="Alef" w:hAnsi="Alef" w:cs="Alef" w:hint="cs"/>
          <w:sz w:val="24"/>
          <w:szCs w:val="24"/>
          <w:rtl/>
        </w:rPr>
        <w:t xml:space="preserve"> של הצדדים</w:t>
      </w:r>
      <w:r w:rsidRPr="002C2CDF">
        <w:rPr>
          <w:rFonts w:ascii="Alef" w:hAnsi="Alef" w:cs="Alef" w:hint="cs"/>
          <w:sz w:val="24"/>
          <w:szCs w:val="24"/>
          <w:rtl/>
        </w:rPr>
        <w:t xml:space="preserve"> </w:t>
      </w:r>
      <w:r w:rsidR="00114E01">
        <w:rPr>
          <w:rFonts w:ascii="Alef" w:hAnsi="Alef" w:cs="Alef" w:hint="cs"/>
          <w:sz w:val="24"/>
          <w:szCs w:val="24"/>
          <w:rtl/>
        </w:rPr>
        <w:t>להסדר</w:t>
      </w:r>
      <w:r w:rsidRPr="002C2CDF">
        <w:rPr>
          <w:rFonts w:ascii="Alef" w:hAnsi="Alef" w:cs="Alef" w:hint="cs"/>
          <w:sz w:val="24"/>
          <w:szCs w:val="24"/>
          <w:rtl/>
        </w:rPr>
        <w:t xml:space="preserve"> בשיווק שירותיהם. פטור הסוג מבוסס על פטור סוג להסדרים תפעוליים הקיים </w:t>
      </w:r>
      <w:r w:rsidR="00246631">
        <w:rPr>
          <w:rFonts w:ascii="Alef" w:hAnsi="Alef" w:cs="Alef" w:hint="cs"/>
          <w:sz w:val="24"/>
          <w:szCs w:val="24"/>
          <w:rtl/>
        </w:rPr>
        <w:t>באיחוד האירופי</w:t>
      </w:r>
      <w:r w:rsidRPr="002C2CDF">
        <w:rPr>
          <w:rFonts w:ascii="Alef" w:hAnsi="Alef" w:cs="Alef" w:hint="cs"/>
          <w:sz w:val="24"/>
          <w:szCs w:val="24"/>
          <w:rtl/>
        </w:rPr>
        <w:t xml:space="preserve">, ומבקש לדמות לו ככל הניתן, על מנת לצמצם את הנטל </w:t>
      </w:r>
      <w:proofErr w:type="spellStart"/>
      <w:r w:rsidRPr="002C2CDF">
        <w:rPr>
          <w:rFonts w:ascii="Alef" w:hAnsi="Alef" w:cs="Alef" w:hint="cs"/>
          <w:sz w:val="24"/>
          <w:szCs w:val="24"/>
          <w:rtl/>
        </w:rPr>
        <w:t>האסדרתי</w:t>
      </w:r>
      <w:proofErr w:type="spellEnd"/>
      <w:r w:rsidRPr="002C2CDF">
        <w:rPr>
          <w:rFonts w:ascii="Alef" w:hAnsi="Alef" w:cs="Alef" w:hint="cs"/>
          <w:sz w:val="24"/>
          <w:szCs w:val="24"/>
          <w:rtl/>
        </w:rPr>
        <w:t xml:space="preserve"> העודף המושת על חברות הספנות הבינלאומיות הפוקדות את ישראל במסגרת קווי תובלה בינלאומיים.</w:t>
      </w:r>
    </w:p>
    <w:p w14:paraId="564D1D9F" w14:textId="6FC4E363" w:rsidR="002C2CDF" w:rsidRPr="002C2CDF" w:rsidRDefault="002C2CDF" w:rsidP="008F5867">
      <w:pPr>
        <w:jc w:val="both"/>
        <w:rPr>
          <w:rFonts w:ascii="Alef" w:hAnsi="Alef" w:cs="Alef"/>
          <w:sz w:val="24"/>
          <w:szCs w:val="24"/>
          <w:rtl/>
        </w:rPr>
      </w:pPr>
      <w:r w:rsidRPr="002C2CDF">
        <w:rPr>
          <w:rFonts w:ascii="Alef" w:hAnsi="Alef" w:cs="Alef" w:hint="cs"/>
          <w:sz w:val="24"/>
          <w:szCs w:val="24"/>
          <w:rtl/>
        </w:rPr>
        <w:t>בעיקרו של דבר, פטור הסוג המוצע קובע משטר הערכה עצמית של הפגיעה הפוטנציאלית בתחרות של ההסדרים שבפטור (</w:t>
      </w:r>
      <w:r w:rsidRPr="002C2CDF">
        <w:rPr>
          <w:rFonts w:ascii="Alef" w:hAnsi="Alef" w:cs="Alef"/>
          <w:sz w:val="24"/>
          <w:szCs w:val="24"/>
        </w:rPr>
        <w:t>Assessment</w:t>
      </w:r>
      <w:r w:rsidRPr="002C2CDF">
        <w:rPr>
          <w:rFonts w:ascii="Alef" w:hAnsi="Alef" w:cs="Alef" w:hint="cs"/>
          <w:sz w:val="24"/>
          <w:szCs w:val="24"/>
          <w:rtl/>
        </w:rPr>
        <w:t xml:space="preserve"> </w:t>
      </w:r>
      <w:r w:rsidRPr="002C2CDF">
        <w:rPr>
          <w:rFonts w:ascii="Alef" w:hAnsi="Alef" w:cs="Alef"/>
          <w:sz w:val="24"/>
          <w:szCs w:val="24"/>
        </w:rPr>
        <w:t>Self</w:t>
      </w:r>
      <w:r w:rsidRPr="002C2CDF">
        <w:rPr>
          <w:rFonts w:ascii="Alef" w:hAnsi="Alef" w:cs="Alef" w:hint="cs"/>
          <w:sz w:val="24"/>
          <w:szCs w:val="24"/>
          <w:rtl/>
        </w:rPr>
        <w:t xml:space="preserve">). צדדים להסדר כובל לא יידרשו לפנות למאסדר מראש לצורך קבלת היתר לעשיית הסדר כובל. הצדדים להסדר יעריכו בעצמם אם ההסדר עומד במבחני הפגיעה בתחרות של פטור הסוג, ובהתאם, אם הם סבורים, כי הוא מותר או אסור (ראו סעיף 3 לפטור הסוג), ויפעלו בהתאם. בפטור הסוג קבוע גם "נמל מבטחים" לגבי הסדרים תפעוליים שבהם נתח השוק המצרפי של הצדדים להסדר הוא עד 40%. אם הסדר כזה עומד ביתר תנאי פטור הסוג, וגם בתנאי סעיף "נמל המבטחים" האמור, הוא ייהנה מפטור הסוג, ללא צורך בבדיקה נוספת והערכה פרטנית של השפעתו על התחרות (ראו סעיף 4 לפטור הסוג). </w:t>
      </w:r>
      <w:r w:rsidR="00984A36">
        <w:rPr>
          <w:rFonts w:ascii="Alef" w:hAnsi="Alef" w:cs="Alef" w:hint="cs"/>
          <w:sz w:val="24"/>
          <w:szCs w:val="24"/>
          <w:rtl/>
        </w:rPr>
        <w:t>ככל שהממונה תסבור בהמשך הדרך ש</w:t>
      </w:r>
      <w:r w:rsidR="00984A36" w:rsidRPr="002C2CDF">
        <w:rPr>
          <w:rFonts w:ascii="Alef" w:hAnsi="Alef" w:cs="Alef" w:hint="cs"/>
          <w:sz w:val="24"/>
          <w:szCs w:val="24"/>
          <w:rtl/>
        </w:rPr>
        <w:t xml:space="preserve">הערכת הצדדים אינה </w:t>
      </w:r>
      <w:r w:rsidR="00984A36">
        <w:rPr>
          <w:rFonts w:ascii="Alef" w:hAnsi="Alef" w:cs="Alef" w:hint="cs"/>
          <w:sz w:val="24"/>
          <w:szCs w:val="24"/>
          <w:rtl/>
        </w:rPr>
        <w:t xml:space="preserve">נכונה וכי ההסדר שלהם אינו חוסה תחת תנאי פטור הסוג, קיימת לה הסמכות לנקוט </w:t>
      </w:r>
      <w:r w:rsidR="00984A36">
        <w:rPr>
          <w:rFonts w:ascii="Alef" w:hAnsi="Alef" w:cs="Alef" w:hint="cs"/>
          <w:sz w:val="24"/>
          <w:szCs w:val="24"/>
          <w:rtl/>
        </w:rPr>
        <w:lastRenderedPageBreak/>
        <w:t>צעדי אכיפה כנגד הצדדים להסדר.</w:t>
      </w:r>
      <w:r w:rsidR="004A61DF">
        <w:rPr>
          <w:rFonts w:ascii="Alef" w:hAnsi="Alef" w:cs="Alef" w:hint="cs"/>
          <w:sz w:val="24"/>
          <w:szCs w:val="24"/>
          <w:rtl/>
        </w:rPr>
        <w:t xml:space="preserve"> כמו כן, הממונה רשאית לקבוע, כי פטור הסוג אינו חל ביחס להסדר </w:t>
      </w:r>
      <w:r w:rsidR="00865E0B">
        <w:rPr>
          <w:rFonts w:ascii="Alef" w:hAnsi="Alef" w:cs="Alef" w:hint="cs"/>
          <w:sz w:val="24"/>
          <w:szCs w:val="24"/>
          <w:rtl/>
        </w:rPr>
        <w:t>ספציפי</w:t>
      </w:r>
      <w:r w:rsidR="004A61DF">
        <w:rPr>
          <w:rFonts w:ascii="Alef" w:hAnsi="Alef" w:cs="Alef" w:hint="cs"/>
          <w:sz w:val="24"/>
          <w:szCs w:val="24"/>
          <w:rtl/>
        </w:rPr>
        <w:t xml:space="preserve">, ולהורות לצדדים לאותו הסדר להגיש אותו לאישור פרטני.  </w:t>
      </w:r>
    </w:p>
    <w:p w14:paraId="3CFD5A99" w14:textId="3817E519" w:rsidR="000A5E87" w:rsidRPr="00561F87" w:rsidRDefault="000A5E87" w:rsidP="008F5867">
      <w:pPr>
        <w:jc w:val="both"/>
        <w:rPr>
          <w:rFonts w:ascii="Alef" w:hAnsi="Alef" w:cs="Alef"/>
          <w:sz w:val="24"/>
          <w:szCs w:val="24"/>
        </w:rPr>
      </w:pPr>
      <w:r>
        <w:rPr>
          <w:rFonts w:ascii="Alef" w:hAnsi="Alef" w:cs="Alef" w:hint="cs"/>
          <w:sz w:val="24"/>
          <w:szCs w:val="24"/>
          <w:rtl/>
        </w:rPr>
        <w:t xml:space="preserve">לקראת הארכת הפטור נערכה בדיקה פנימית ממנה עלה כי </w:t>
      </w:r>
      <w:r w:rsidRPr="001A40E4">
        <w:rPr>
          <w:rFonts w:ascii="Alef" w:hAnsi="Alef" w:cs="Alef" w:hint="cs"/>
          <w:sz w:val="24"/>
          <w:szCs w:val="24"/>
          <w:rtl/>
        </w:rPr>
        <w:t xml:space="preserve">עד </w:t>
      </w:r>
      <w:r w:rsidRPr="001A40E4">
        <w:rPr>
          <w:rFonts w:ascii="Alef" w:hAnsi="Alef" w:cs="Alef" w:hint="eastAsia"/>
          <w:sz w:val="24"/>
          <w:szCs w:val="24"/>
          <w:rtl/>
        </w:rPr>
        <w:t>עתה</w:t>
      </w:r>
      <w:r w:rsidRPr="001A40E4">
        <w:rPr>
          <w:rFonts w:ascii="Alef" w:hAnsi="Alef" w:cs="Alef" w:hint="cs"/>
          <w:sz w:val="24"/>
          <w:szCs w:val="24"/>
          <w:rtl/>
        </w:rPr>
        <w:t xml:space="preserve"> לא התקבל ברשות התחרות מידע על עסקאות שנע</w:t>
      </w:r>
      <w:r w:rsidR="00E02AA9">
        <w:rPr>
          <w:rFonts w:ascii="Alef" w:hAnsi="Alef" w:cs="Alef" w:hint="cs"/>
          <w:sz w:val="24"/>
          <w:szCs w:val="24"/>
          <w:rtl/>
        </w:rPr>
        <w:t>רכ</w:t>
      </w:r>
      <w:r w:rsidRPr="001A40E4">
        <w:rPr>
          <w:rFonts w:ascii="Alef" w:hAnsi="Alef" w:cs="Alef" w:hint="cs"/>
          <w:sz w:val="24"/>
          <w:szCs w:val="24"/>
          <w:rtl/>
        </w:rPr>
        <w:t xml:space="preserve">ו על פי פטור הסוג ואשר </w:t>
      </w:r>
      <w:r w:rsidR="00246631">
        <w:rPr>
          <w:rFonts w:ascii="Alef" w:hAnsi="Alef" w:cs="Alef" w:hint="cs"/>
          <w:sz w:val="24"/>
          <w:szCs w:val="24"/>
          <w:rtl/>
        </w:rPr>
        <w:t>היו עלולים לפגוע</w:t>
      </w:r>
      <w:r w:rsidRPr="001A40E4">
        <w:rPr>
          <w:rFonts w:ascii="Alef" w:hAnsi="Alef" w:cs="Alef" w:hint="cs"/>
          <w:sz w:val="24"/>
          <w:szCs w:val="24"/>
          <w:rtl/>
        </w:rPr>
        <w:t xml:space="preserve"> </w:t>
      </w:r>
      <w:r w:rsidR="00246631">
        <w:rPr>
          <w:rFonts w:ascii="Alef" w:hAnsi="Alef" w:cs="Alef" w:hint="cs"/>
          <w:sz w:val="24"/>
          <w:szCs w:val="24"/>
          <w:rtl/>
        </w:rPr>
        <w:t xml:space="preserve">פגיעה משמעותית </w:t>
      </w:r>
      <w:r w:rsidRPr="001A40E4">
        <w:rPr>
          <w:rFonts w:ascii="Alef" w:hAnsi="Alef" w:cs="Alef" w:hint="cs"/>
          <w:sz w:val="24"/>
          <w:szCs w:val="24"/>
          <w:rtl/>
        </w:rPr>
        <w:t>בתחרות בשוק בישראל.</w:t>
      </w:r>
      <w:r>
        <w:rPr>
          <w:rFonts w:ascii="Alef" w:hAnsi="Alef" w:cs="Alef" w:hint="cs"/>
          <w:sz w:val="24"/>
          <w:szCs w:val="24"/>
          <w:rtl/>
        </w:rPr>
        <w:t xml:space="preserve"> בנוסף, התקיימו שיחות עם בעלי עניין </w:t>
      </w:r>
      <w:r w:rsidR="00E02AA9">
        <w:rPr>
          <w:rFonts w:ascii="Alef" w:hAnsi="Alef" w:cs="Alef" w:hint="cs"/>
          <w:sz w:val="24"/>
          <w:szCs w:val="24"/>
          <w:rtl/>
        </w:rPr>
        <w:t xml:space="preserve">מהן עלה </w:t>
      </w:r>
      <w:r>
        <w:rPr>
          <w:rFonts w:ascii="Alef" w:hAnsi="Alef" w:cs="Alef" w:hint="cs"/>
          <w:sz w:val="24"/>
          <w:szCs w:val="24"/>
          <w:rtl/>
        </w:rPr>
        <w:t>שהמשך הפטור נחוץ לפעילות</w:t>
      </w:r>
      <w:r w:rsidR="007801E6">
        <w:rPr>
          <w:rFonts w:ascii="Alef" w:hAnsi="Alef" w:cs="Alef" w:hint="cs"/>
          <w:sz w:val="24"/>
          <w:szCs w:val="24"/>
          <w:rtl/>
        </w:rPr>
        <w:t>ם</w:t>
      </w:r>
      <w:r>
        <w:rPr>
          <w:rFonts w:ascii="Alef" w:hAnsi="Alef" w:cs="Alef" w:hint="cs"/>
          <w:sz w:val="24"/>
          <w:szCs w:val="24"/>
          <w:rtl/>
        </w:rPr>
        <w:t xml:space="preserve"> העסקית ו</w:t>
      </w:r>
      <w:r w:rsidR="00296F7B">
        <w:rPr>
          <w:rFonts w:ascii="Alef" w:hAnsi="Alef" w:cs="Alef" w:hint="cs"/>
          <w:sz w:val="24"/>
          <w:szCs w:val="24"/>
          <w:rtl/>
        </w:rPr>
        <w:t xml:space="preserve">לא עלה </w:t>
      </w:r>
      <w:r>
        <w:rPr>
          <w:rFonts w:ascii="Alef" w:hAnsi="Alef" w:cs="Alef" w:hint="cs"/>
          <w:sz w:val="24"/>
          <w:szCs w:val="24"/>
          <w:rtl/>
        </w:rPr>
        <w:t xml:space="preserve">חשש </w:t>
      </w:r>
      <w:r w:rsidR="00296F7B">
        <w:rPr>
          <w:rFonts w:ascii="Alef" w:hAnsi="Alef" w:cs="Alef" w:hint="cs"/>
          <w:sz w:val="24"/>
          <w:szCs w:val="24"/>
          <w:rtl/>
        </w:rPr>
        <w:t>לכך שי</w:t>
      </w:r>
      <w:r w:rsidR="007801E6">
        <w:rPr>
          <w:rFonts w:ascii="Alef" w:hAnsi="Alef" w:cs="Alef" w:hint="cs"/>
          <w:sz w:val="24"/>
          <w:szCs w:val="24"/>
          <w:rtl/>
        </w:rPr>
        <w:t>תבצעו</w:t>
      </w:r>
      <w:r w:rsidR="00296F7B">
        <w:rPr>
          <w:rFonts w:ascii="Alef" w:hAnsi="Alef" w:cs="Alef" w:hint="cs"/>
          <w:sz w:val="24"/>
          <w:szCs w:val="24"/>
          <w:rtl/>
        </w:rPr>
        <w:t xml:space="preserve"> עסקאות על פי הפטור שעלולות לגרום לפגיעה בתחרות. </w:t>
      </w:r>
    </w:p>
    <w:p w14:paraId="42FB3734" w14:textId="5F29D4F8" w:rsidR="00DA1310" w:rsidRDefault="00CE760D" w:rsidP="008F5867">
      <w:pPr>
        <w:jc w:val="both"/>
        <w:rPr>
          <w:rFonts w:ascii="Alef" w:hAnsi="Alef" w:cs="Alef"/>
          <w:sz w:val="24"/>
          <w:szCs w:val="24"/>
          <w:rtl/>
        </w:rPr>
      </w:pPr>
      <w:r>
        <w:rPr>
          <w:rFonts w:ascii="Alef" w:hAnsi="Alef" w:cs="Alef" w:hint="cs"/>
          <w:sz w:val="24"/>
          <w:szCs w:val="24"/>
          <w:rtl/>
        </w:rPr>
        <w:t xml:space="preserve">לאור האמור, </w:t>
      </w:r>
      <w:r w:rsidR="00561F87" w:rsidRPr="00561F87">
        <w:rPr>
          <w:rFonts w:ascii="Alef" w:hAnsi="Alef" w:cs="Alef" w:hint="cs"/>
          <w:sz w:val="24"/>
          <w:szCs w:val="24"/>
          <w:rtl/>
        </w:rPr>
        <w:t xml:space="preserve">מוצע להאריך את תוקפם של </w:t>
      </w:r>
      <w:r w:rsidR="00561F87" w:rsidRPr="00561F87">
        <w:rPr>
          <w:rFonts w:ascii="Alef" w:hAnsi="Alef" w:cs="Alef"/>
          <w:sz w:val="24"/>
          <w:szCs w:val="24"/>
          <w:rtl/>
        </w:rPr>
        <w:t>כללי ההגבלים העסקיים (</w:t>
      </w:r>
      <w:sdt>
        <w:sdtPr>
          <w:rPr>
            <w:rFonts w:ascii="Alef" w:hAnsi="Alef" w:cs="Alef"/>
            <w:sz w:val="24"/>
            <w:szCs w:val="24"/>
            <w:rtl/>
          </w:rPr>
          <w:alias w:val="כותרת משנה"/>
          <w:id w:val="1055117624"/>
          <w:dataBinding w:prefixMappings="xmlns:ns0='http://schemas.openxmlformats.org/package/2006/metadata/core-properties' xmlns:ns1='http://purl.org/dc/elements/1.1/'" w:xpath="/ns0:coreProperties[1]/ns1:subject[1]" w:storeItemID="{6C3C8BC8-F283-45AE-878A-BAB7291924A1}"/>
          <w:text/>
        </w:sdtPr>
        <w:sdtEndPr/>
        <w:sdtContent>
          <w:r w:rsidR="00D84E10">
            <w:rPr>
              <w:rFonts w:ascii="Alef" w:hAnsi="Alef" w:cs="Alef"/>
              <w:sz w:val="24"/>
              <w:szCs w:val="24"/>
              <w:rtl/>
            </w:rPr>
            <w:t xml:space="preserve">פטור סוג להסדרים תפעוליים שעניינם תובלה בין-לאומית בים, התשע"ג-2012 (הוראת שעה)(תיקון), </w:t>
          </w:r>
          <w:proofErr w:type="spellStart"/>
          <w:r w:rsidR="00D84E10">
            <w:rPr>
              <w:rFonts w:ascii="Alef" w:hAnsi="Alef" w:cs="Alef"/>
              <w:sz w:val="24"/>
              <w:szCs w:val="24"/>
              <w:rtl/>
            </w:rPr>
            <w:t>התשפ"ב</w:t>
          </w:r>
          <w:proofErr w:type="spellEnd"/>
          <w:r w:rsidR="00D84E10">
            <w:rPr>
              <w:rFonts w:ascii="Alef" w:hAnsi="Alef" w:cs="Alef"/>
              <w:sz w:val="24"/>
              <w:szCs w:val="24"/>
              <w:rtl/>
            </w:rPr>
            <w:t xml:space="preserve"> 2022</w:t>
          </w:r>
        </w:sdtContent>
      </w:sdt>
      <w:r w:rsidR="00561F87" w:rsidRPr="00561F87">
        <w:rPr>
          <w:rFonts w:ascii="Alef" w:hAnsi="Alef" w:cs="Alef" w:hint="cs"/>
          <w:sz w:val="24"/>
          <w:szCs w:val="24"/>
          <w:rtl/>
        </w:rPr>
        <w:t xml:space="preserve">, לתקופה נוספת של חמש שנים ולהתאים את נוסחם לתיקון מס' 21 לחוק התחרות הכלכלית, התשמ"ח-1988, במסגרתו שונה, בין היתר, שם החוק מ"חוק ההגבלים העסקיים" ל"חוק התחרות הכלכלית" ושם בית הדין מ"בית הדין להגבלים עסקיים" ל"בית הדין לתחרות".  </w:t>
      </w:r>
    </w:p>
    <w:sectPr w:rsidR="00DA1310" w:rsidSect="00DA1310">
      <w:footerReference w:type="default" r:id="rId10"/>
      <w:pgSz w:w="11906" w:h="16838"/>
      <w:pgMar w:top="1440" w:right="1800" w:bottom="1440" w:left="1800" w:header="708" w:footer="708" w:gutter="0"/>
      <w:pgNumType w:start="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A1BF7" w14:textId="77777777" w:rsidR="00A165CA" w:rsidRDefault="00A165CA" w:rsidP="001A2B54">
      <w:pPr>
        <w:spacing w:after="0" w:line="240" w:lineRule="auto"/>
      </w:pPr>
      <w:r>
        <w:separator/>
      </w:r>
    </w:p>
  </w:endnote>
  <w:endnote w:type="continuationSeparator" w:id="0">
    <w:p w14:paraId="7D7F2FB0" w14:textId="77777777" w:rsidR="00A165CA" w:rsidRDefault="00A165CA" w:rsidP="001A2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avid">
    <w:altName w:val="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lef">
    <w:panose1 w:val="00000500000000000000"/>
    <w:charset w:val="00"/>
    <w:family w:val="auto"/>
    <w:pitch w:val="variable"/>
    <w:sig w:usb0="00000807" w:usb1="40000000" w:usb2="00000000" w:usb3="00000000" w:csb0="000000B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David"/>
        <w:sz w:val="24"/>
        <w:szCs w:val="24"/>
        <w:rtl/>
      </w:rPr>
      <w:id w:val="164445418"/>
      <w:docPartObj>
        <w:docPartGallery w:val="Page Numbers (Bottom of Page)"/>
        <w:docPartUnique/>
      </w:docPartObj>
    </w:sdtPr>
    <w:sdtEndPr>
      <w:rPr>
        <w:cs/>
      </w:rPr>
    </w:sdtEndPr>
    <w:sdtContent>
      <w:p w14:paraId="159B9952" w14:textId="3BBF60E8" w:rsidR="00956480" w:rsidRPr="00DA1310" w:rsidRDefault="00956480">
        <w:pPr>
          <w:pStyle w:val="Footer"/>
          <w:jc w:val="center"/>
          <w:rPr>
            <w:rFonts w:cs="David"/>
            <w:sz w:val="24"/>
            <w:szCs w:val="24"/>
            <w:rtl/>
            <w:cs/>
          </w:rPr>
        </w:pPr>
        <w:r w:rsidRPr="00DA1310">
          <w:rPr>
            <w:rFonts w:cs="David"/>
            <w:sz w:val="24"/>
            <w:szCs w:val="24"/>
          </w:rPr>
          <w:fldChar w:fldCharType="begin"/>
        </w:r>
        <w:r w:rsidRPr="00DA1310">
          <w:rPr>
            <w:rFonts w:cs="David"/>
            <w:sz w:val="24"/>
            <w:szCs w:val="24"/>
            <w:rtl/>
            <w:cs/>
          </w:rPr>
          <w:instrText>PAGE   \* MERGEFORMAT</w:instrText>
        </w:r>
        <w:r w:rsidRPr="00DA1310">
          <w:rPr>
            <w:rFonts w:cs="David"/>
            <w:sz w:val="24"/>
            <w:szCs w:val="24"/>
          </w:rPr>
          <w:fldChar w:fldCharType="separate"/>
        </w:r>
        <w:r w:rsidR="00AE0B2B" w:rsidRPr="00AE0B2B">
          <w:rPr>
            <w:rFonts w:cs="David"/>
            <w:noProof/>
            <w:sz w:val="24"/>
            <w:szCs w:val="24"/>
            <w:rtl/>
            <w:lang w:val="he-IL"/>
          </w:rPr>
          <w:t>11</w:t>
        </w:r>
        <w:r w:rsidRPr="00DA1310">
          <w:rPr>
            <w:rFonts w:cs="David"/>
            <w:sz w:val="24"/>
            <w:szCs w:val="24"/>
          </w:rPr>
          <w:fldChar w:fldCharType="end"/>
        </w:r>
      </w:p>
    </w:sdtContent>
  </w:sdt>
  <w:p w14:paraId="1639C31D" w14:textId="77777777" w:rsidR="00956480" w:rsidRDefault="009564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759EA" w14:textId="77777777" w:rsidR="00A165CA" w:rsidRDefault="00A165CA" w:rsidP="001A2B54">
      <w:pPr>
        <w:spacing w:after="0" w:line="240" w:lineRule="auto"/>
      </w:pPr>
      <w:r>
        <w:separator/>
      </w:r>
    </w:p>
  </w:footnote>
  <w:footnote w:type="continuationSeparator" w:id="0">
    <w:p w14:paraId="151C93B0" w14:textId="77777777" w:rsidR="00A165CA" w:rsidRDefault="00A165CA" w:rsidP="001A2B54">
      <w:pPr>
        <w:spacing w:after="0" w:line="240" w:lineRule="auto"/>
      </w:pPr>
      <w:r>
        <w:continuationSeparator/>
      </w:r>
    </w:p>
  </w:footnote>
  <w:footnote w:id="1">
    <w:p w14:paraId="6B6D7D03" w14:textId="77777777" w:rsidR="00956480" w:rsidRPr="00182CB4" w:rsidRDefault="00956480" w:rsidP="00EB5588">
      <w:pPr>
        <w:pStyle w:val="FootnoteText"/>
        <w:rPr>
          <w:rFonts w:ascii="Alef" w:hAnsi="Alef" w:cs="Alef"/>
          <w:rtl/>
        </w:rPr>
      </w:pPr>
      <w:r w:rsidRPr="00182CB4">
        <w:rPr>
          <w:rStyle w:val="FootnoteReference"/>
          <w:rFonts w:ascii="Alef" w:hAnsi="Alef" w:cs="Alef"/>
        </w:rPr>
        <w:footnoteRef/>
      </w:r>
      <w:r w:rsidRPr="00182CB4">
        <w:rPr>
          <w:rFonts w:ascii="Alef" w:hAnsi="Alef" w:cs="Alef"/>
          <w:rtl/>
        </w:rPr>
        <w:t xml:space="preserve"> ס"ח תש"ס מס' 1728, מיום 20.2.200 עמ' 113. </w:t>
      </w:r>
    </w:p>
  </w:footnote>
  <w:footnote w:id="2">
    <w:p w14:paraId="6261C8F5" w14:textId="77777777" w:rsidR="00956480" w:rsidRPr="00182CB4" w:rsidRDefault="00956480" w:rsidP="00EB5588">
      <w:pPr>
        <w:pStyle w:val="FootnoteText"/>
        <w:rPr>
          <w:rFonts w:ascii="Alef" w:hAnsi="Alef" w:cs="Alef"/>
          <w:rtl/>
        </w:rPr>
      </w:pPr>
      <w:r w:rsidRPr="00182CB4">
        <w:rPr>
          <w:rStyle w:val="FootnoteReference"/>
          <w:rFonts w:ascii="Alef" w:hAnsi="Alef" w:cs="Alef"/>
        </w:rPr>
        <w:footnoteRef/>
      </w:r>
      <w:r w:rsidRPr="00182CB4">
        <w:rPr>
          <w:rFonts w:ascii="Alef" w:hAnsi="Alef" w:cs="Alef"/>
          <w:rtl/>
        </w:rPr>
        <w:t xml:space="preserve"> </w:t>
      </w:r>
      <w:r w:rsidRPr="00182CB4">
        <w:rPr>
          <w:rFonts w:ascii="Alef" w:hAnsi="Alef" w:cs="Alef"/>
          <w:rtl/>
        </w:rPr>
        <w:t xml:space="preserve">ה"ח תשנ"ט מס' 2805, עמ' 386.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750FA"/>
    <w:multiLevelType w:val="hybridMultilevel"/>
    <w:tmpl w:val="D75C7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514D2"/>
    <w:multiLevelType w:val="hybridMultilevel"/>
    <w:tmpl w:val="7FD2F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A1CFD"/>
    <w:multiLevelType w:val="hybridMultilevel"/>
    <w:tmpl w:val="579A22D2"/>
    <w:lvl w:ilvl="0" w:tplc="4D7615C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F31EE"/>
    <w:multiLevelType w:val="multilevel"/>
    <w:tmpl w:val="880466A4"/>
    <w:lvl w:ilvl="0">
      <w:start w:val="19"/>
      <w:numFmt w:val="decimal"/>
      <w:lvlText w:val="%1."/>
      <w:lvlJc w:val="left"/>
      <w:pPr>
        <w:ind w:left="435" w:hanging="435"/>
      </w:pPr>
      <w:rPr>
        <w:rFonts w:hint="default"/>
        <w:sz w:val="24"/>
      </w:rPr>
    </w:lvl>
    <w:lvl w:ilvl="1">
      <w:start w:val="1"/>
      <w:numFmt w:val="decimal"/>
      <w:lvlText w:val="%1.%2."/>
      <w:lvlJc w:val="left"/>
      <w:pPr>
        <w:ind w:left="435" w:hanging="43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4" w15:restartNumberingAfterBreak="0">
    <w:nsid w:val="1D5D31F7"/>
    <w:multiLevelType w:val="hybridMultilevel"/>
    <w:tmpl w:val="931E7CF2"/>
    <w:lvl w:ilvl="0" w:tplc="23AE44D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925E5A"/>
    <w:multiLevelType w:val="hybridMultilevel"/>
    <w:tmpl w:val="4E0EC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A80DFA"/>
    <w:multiLevelType w:val="multilevel"/>
    <w:tmpl w:val="DD6629D2"/>
    <w:lvl w:ilvl="0">
      <w:start w:val="19"/>
      <w:numFmt w:val="decimal"/>
      <w:lvlText w:val="%1."/>
      <w:lvlJc w:val="left"/>
      <w:pPr>
        <w:ind w:left="435" w:hanging="435"/>
      </w:pPr>
      <w:rPr>
        <w:rFonts w:hint="default"/>
        <w:sz w:val="24"/>
      </w:rPr>
    </w:lvl>
    <w:lvl w:ilvl="1">
      <w:start w:val="1"/>
      <w:numFmt w:val="decimal"/>
      <w:lvlText w:val="%1.%2."/>
      <w:lvlJc w:val="left"/>
      <w:pPr>
        <w:ind w:left="661" w:hanging="435"/>
      </w:pPr>
      <w:rPr>
        <w:rFonts w:hint="default"/>
        <w:sz w:val="24"/>
      </w:rPr>
    </w:lvl>
    <w:lvl w:ilvl="2">
      <w:start w:val="1"/>
      <w:numFmt w:val="decimal"/>
      <w:lvlText w:val="%1.%2.%3."/>
      <w:lvlJc w:val="left"/>
      <w:pPr>
        <w:ind w:left="1172" w:hanging="720"/>
      </w:pPr>
      <w:rPr>
        <w:rFonts w:hint="default"/>
        <w:sz w:val="24"/>
      </w:rPr>
    </w:lvl>
    <w:lvl w:ilvl="3">
      <w:start w:val="1"/>
      <w:numFmt w:val="decimal"/>
      <w:lvlText w:val="%1.%2.%3.%4."/>
      <w:lvlJc w:val="left"/>
      <w:pPr>
        <w:ind w:left="1398" w:hanging="720"/>
      </w:pPr>
      <w:rPr>
        <w:rFonts w:hint="default"/>
        <w:sz w:val="24"/>
      </w:rPr>
    </w:lvl>
    <w:lvl w:ilvl="4">
      <w:start w:val="1"/>
      <w:numFmt w:val="decimal"/>
      <w:lvlText w:val="%1.%2.%3.%4.%5."/>
      <w:lvlJc w:val="left"/>
      <w:pPr>
        <w:ind w:left="1984" w:hanging="1080"/>
      </w:pPr>
      <w:rPr>
        <w:rFonts w:hint="default"/>
        <w:sz w:val="24"/>
      </w:rPr>
    </w:lvl>
    <w:lvl w:ilvl="5">
      <w:start w:val="1"/>
      <w:numFmt w:val="decimal"/>
      <w:lvlText w:val="%1.%2.%3.%4.%5.%6."/>
      <w:lvlJc w:val="left"/>
      <w:pPr>
        <w:ind w:left="2210" w:hanging="1080"/>
      </w:pPr>
      <w:rPr>
        <w:rFonts w:hint="default"/>
        <w:sz w:val="24"/>
      </w:rPr>
    </w:lvl>
    <w:lvl w:ilvl="6">
      <w:start w:val="1"/>
      <w:numFmt w:val="decimal"/>
      <w:lvlText w:val="%1.%2.%3.%4.%5.%6.%7."/>
      <w:lvlJc w:val="left"/>
      <w:pPr>
        <w:ind w:left="2436" w:hanging="1080"/>
      </w:pPr>
      <w:rPr>
        <w:rFonts w:hint="default"/>
        <w:sz w:val="24"/>
      </w:rPr>
    </w:lvl>
    <w:lvl w:ilvl="7">
      <w:start w:val="1"/>
      <w:numFmt w:val="decimal"/>
      <w:lvlText w:val="%1.%2.%3.%4.%5.%6.%7.%8."/>
      <w:lvlJc w:val="left"/>
      <w:pPr>
        <w:ind w:left="3022" w:hanging="1440"/>
      </w:pPr>
      <w:rPr>
        <w:rFonts w:hint="default"/>
        <w:sz w:val="24"/>
      </w:rPr>
    </w:lvl>
    <w:lvl w:ilvl="8">
      <w:start w:val="1"/>
      <w:numFmt w:val="decimal"/>
      <w:lvlText w:val="%1.%2.%3.%4.%5.%6.%7.%8.%9."/>
      <w:lvlJc w:val="left"/>
      <w:pPr>
        <w:ind w:left="3248" w:hanging="1440"/>
      </w:pPr>
      <w:rPr>
        <w:rFonts w:hint="default"/>
        <w:sz w:val="24"/>
      </w:rPr>
    </w:lvl>
  </w:abstractNum>
  <w:abstractNum w:abstractNumId="7" w15:restartNumberingAfterBreak="0">
    <w:nsid w:val="28A7464D"/>
    <w:multiLevelType w:val="hybridMultilevel"/>
    <w:tmpl w:val="602E3D58"/>
    <w:lvl w:ilvl="0" w:tplc="D06A012C">
      <w:start w:val="1"/>
      <w:numFmt w:val="decimal"/>
      <w:lvlText w:val="(%1)"/>
      <w:lvlJc w:val="left"/>
      <w:pPr>
        <w:ind w:left="1211"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61FDD"/>
    <w:multiLevelType w:val="hybridMultilevel"/>
    <w:tmpl w:val="35CC40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460074"/>
    <w:multiLevelType w:val="hybridMultilevel"/>
    <w:tmpl w:val="3DF67DDE"/>
    <w:lvl w:ilvl="0" w:tplc="CAE0880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3059063F"/>
    <w:multiLevelType w:val="multilevel"/>
    <w:tmpl w:val="EB0E2796"/>
    <w:lvl w:ilvl="0">
      <w:start w:val="1"/>
      <w:numFmt w:val="decimal"/>
      <w:lvlText w:val="%1."/>
      <w:lvlJc w:val="left"/>
      <w:pPr>
        <w:ind w:left="720" w:hanging="360"/>
      </w:pPr>
      <w:rPr>
        <w:rFonts w:ascii="David" w:hAnsi="David" w:hint="default"/>
      </w:rPr>
    </w:lvl>
    <w:lvl w:ilvl="1">
      <w:start w:val="1"/>
      <w:numFmt w:val="decimal"/>
      <w:isLgl/>
      <w:lvlText w:val="%1.%2"/>
      <w:lvlJc w:val="left"/>
      <w:pPr>
        <w:ind w:left="735" w:hanging="375"/>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080" w:hanging="72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11" w15:restartNumberingAfterBreak="0">
    <w:nsid w:val="32AE789D"/>
    <w:multiLevelType w:val="multilevel"/>
    <w:tmpl w:val="7368E1FA"/>
    <w:lvl w:ilvl="0">
      <w:start w:val="1"/>
      <w:numFmt w:val="decimal"/>
      <w:pStyle w:val="1"/>
      <w:lvlText w:val="%1."/>
      <w:lvlJc w:val="center"/>
      <w:pPr>
        <w:tabs>
          <w:tab w:val="num" w:pos="34"/>
        </w:tabs>
        <w:ind w:left="34" w:hanging="601"/>
      </w:pPr>
      <w:rPr>
        <w:rFonts w:cs="Times New Roman" w:hint="default"/>
        <w:bCs w:val="0"/>
        <w:iCs w:val="0"/>
        <w:u w:val="none"/>
      </w:rPr>
    </w:lvl>
    <w:lvl w:ilvl="1">
      <w:start w:val="1"/>
      <w:numFmt w:val="hebrew1"/>
      <w:pStyle w:val="2"/>
      <w:lvlText w:val="%2."/>
      <w:lvlJc w:val="center"/>
      <w:pPr>
        <w:tabs>
          <w:tab w:val="num" w:pos="567"/>
        </w:tabs>
        <w:ind w:left="567" w:hanging="510"/>
      </w:pPr>
      <w:rPr>
        <w:rFonts w:cs="Times New Roman" w:hint="default"/>
        <w:szCs w:val="24"/>
        <w:u w:val="none"/>
      </w:rPr>
    </w:lvl>
    <w:lvl w:ilvl="2">
      <w:start w:val="1"/>
      <w:numFmt w:val="decimal"/>
      <w:pStyle w:val="3"/>
      <w:lvlText w:val="%3)"/>
      <w:lvlJc w:val="center"/>
      <w:pPr>
        <w:tabs>
          <w:tab w:val="num" w:pos="1134"/>
        </w:tabs>
        <w:ind w:left="1134" w:hanging="567"/>
      </w:pPr>
      <w:rPr>
        <w:rFonts w:cs="Times New Roman" w:hint="default"/>
        <w:u w:val="none"/>
      </w:rPr>
    </w:lvl>
    <w:lvl w:ilvl="3">
      <w:start w:val="1"/>
      <w:numFmt w:val="hebrew1"/>
      <w:lvlText w:val="(%4)"/>
      <w:lvlJc w:val="center"/>
      <w:pPr>
        <w:tabs>
          <w:tab w:val="num" w:pos="1984"/>
        </w:tabs>
        <w:ind w:left="1984" w:hanging="510"/>
      </w:pPr>
      <w:rPr>
        <w:rFonts w:cs="Times New Roman" w:hint="default"/>
        <w:szCs w:val="24"/>
        <w:u w:val="none"/>
      </w:rPr>
    </w:lvl>
    <w:lvl w:ilvl="4">
      <w:start w:val="1"/>
      <w:numFmt w:val="upperRoman"/>
      <w:lvlText w:val="%5"/>
      <w:lvlJc w:val="center"/>
      <w:pPr>
        <w:tabs>
          <w:tab w:val="num" w:pos="2551"/>
        </w:tabs>
        <w:ind w:left="2551" w:hanging="567"/>
      </w:pPr>
      <w:rPr>
        <w:rFonts w:cs="Times New Roman" w:hint="default"/>
        <w:u w:val="none"/>
      </w:rPr>
    </w:lvl>
    <w:lvl w:ilvl="5">
      <w:start w:val="1"/>
      <w:numFmt w:val="lowerRoman"/>
      <w:lvlText w:val="%6"/>
      <w:lvlJc w:val="center"/>
      <w:pPr>
        <w:tabs>
          <w:tab w:val="num" w:pos="3118"/>
        </w:tabs>
        <w:ind w:left="3118" w:hanging="567"/>
      </w:pPr>
      <w:rPr>
        <w:rFonts w:cs="Times New Roman" w:hint="default"/>
        <w:u w:val="none"/>
      </w:rPr>
    </w:lvl>
    <w:lvl w:ilvl="6">
      <w:start w:val="1"/>
      <w:numFmt w:val="bullet"/>
      <w:lvlText w:val=""/>
      <w:lvlJc w:val="left"/>
      <w:pPr>
        <w:tabs>
          <w:tab w:val="num" w:pos="3685"/>
        </w:tabs>
        <w:ind w:left="3685" w:hanging="567"/>
      </w:pPr>
      <w:rPr>
        <w:rFonts w:ascii="Symbol" w:hAnsi="Symbol" w:hint="default"/>
        <w:u w:val="none"/>
      </w:rPr>
    </w:lvl>
    <w:lvl w:ilvl="7">
      <w:start w:val="1"/>
      <w:numFmt w:val="lowerLetter"/>
      <w:lvlText w:val="(%8)"/>
      <w:lvlJc w:val="center"/>
      <w:pPr>
        <w:tabs>
          <w:tab w:val="num" w:pos="4252"/>
        </w:tabs>
        <w:ind w:left="4252" w:hanging="510"/>
      </w:pPr>
      <w:rPr>
        <w:rFonts w:cs="Times New Roman" w:hint="default"/>
        <w:u w:val="none"/>
      </w:rPr>
    </w:lvl>
    <w:lvl w:ilvl="8">
      <w:start w:val="1"/>
      <w:numFmt w:val="lowerRoman"/>
      <w:lvlText w:val="(%9)"/>
      <w:lvlJc w:val="center"/>
      <w:pPr>
        <w:tabs>
          <w:tab w:val="num" w:pos="4819"/>
        </w:tabs>
        <w:ind w:left="4819" w:hanging="510"/>
      </w:pPr>
      <w:rPr>
        <w:rFonts w:cs="Times New Roman" w:hint="default"/>
        <w:u w:val="none"/>
      </w:rPr>
    </w:lvl>
  </w:abstractNum>
  <w:abstractNum w:abstractNumId="12" w15:restartNumberingAfterBreak="0">
    <w:nsid w:val="359D774E"/>
    <w:multiLevelType w:val="hybridMultilevel"/>
    <w:tmpl w:val="3CC6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EF38EB"/>
    <w:multiLevelType w:val="hybridMultilevel"/>
    <w:tmpl w:val="C3005D28"/>
    <w:lvl w:ilvl="0" w:tplc="73B8B36C">
      <w:start w:val="1"/>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437B4"/>
    <w:multiLevelType w:val="hybridMultilevel"/>
    <w:tmpl w:val="FA4A962A"/>
    <w:lvl w:ilvl="0" w:tplc="32B835F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63119"/>
    <w:multiLevelType w:val="hybridMultilevel"/>
    <w:tmpl w:val="561E24C4"/>
    <w:lvl w:ilvl="0" w:tplc="FDDA5B50">
      <w:start w:val="1"/>
      <w:numFmt w:val="decimal"/>
      <w:lvlText w:val="%1."/>
      <w:lvlJc w:val="left"/>
      <w:pPr>
        <w:ind w:left="360" w:hanging="360"/>
      </w:pPr>
      <w:rPr>
        <w:rFonts w:hint="default"/>
        <w:sz w:val="24"/>
      </w:rPr>
    </w:lvl>
    <w:lvl w:ilvl="1" w:tplc="53AA297C">
      <w:start w:val="1"/>
      <w:numFmt w:val="hebrew1"/>
      <w:lvlText w:val="(%2)"/>
      <w:lvlJc w:val="left"/>
      <w:pPr>
        <w:ind w:left="786" w:hanging="360"/>
      </w:pPr>
      <w:rPr>
        <w:rFonts w:ascii="Times New Roman" w:eastAsia="Times New Roman" w:hAnsi="Times New Roman" w:cs="David"/>
        <w:lang w:bidi="he-IL"/>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4A7EAC"/>
    <w:multiLevelType w:val="hybridMultilevel"/>
    <w:tmpl w:val="43F47BB0"/>
    <w:lvl w:ilvl="0" w:tplc="7FEE751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8A1C3E"/>
    <w:multiLevelType w:val="hybridMultilevel"/>
    <w:tmpl w:val="5A0264E8"/>
    <w:lvl w:ilvl="0" w:tplc="358A808E">
      <w:start w:val="1"/>
      <w:numFmt w:val="hebrew1"/>
      <w:lvlText w:val="%1."/>
      <w:lvlJc w:val="left"/>
      <w:pPr>
        <w:ind w:left="644" w:hanging="360"/>
      </w:pPr>
      <w:rPr>
        <w:rFonts w:cs="David"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1AA5CC4"/>
    <w:multiLevelType w:val="hybridMultilevel"/>
    <w:tmpl w:val="4ECA0746"/>
    <w:lvl w:ilvl="0" w:tplc="C12C6B0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F253F"/>
    <w:multiLevelType w:val="hybridMultilevel"/>
    <w:tmpl w:val="BA969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18256E"/>
    <w:multiLevelType w:val="hybridMultilevel"/>
    <w:tmpl w:val="7ED0629A"/>
    <w:lvl w:ilvl="0" w:tplc="402C5B52">
      <w:start w:val="1"/>
      <w:numFmt w:val="hebrew1"/>
      <w:lvlText w:val="%1."/>
      <w:lvlJc w:val="left"/>
      <w:pPr>
        <w:ind w:left="644" w:hanging="360"/>
      </w:pPr>
      <w:rPr>
        <w:rFonts w:hint="default"/>
        <w:lang w:val="en-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D0171B5"/>
    <w:multiLevelType w:val="hybridMultilevel"/>
    <w:tmpl w:val="759A1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0064EE"/>
    <w:multiLevelType w:val="hybridMultilevel"/>
    <w:tmpl w:val="7F50B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F71B5C"/>
    <w:multiLevelType w:val="hybridMultilevel"/>
    <w:tmpl w:val="3CC6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1F230F"/>
    <w:multiLevelType w:val="hybridMultilevel"/>
    <w:tmpl w:val="C3809876"/>
    <w:lvl w:ilvl="0" w:tplc="53AA297C">
      <w:start w:val="1"/>
      <w:numFmt w:val="hebrew1"/>
      <w:lvlText w:val="(%1)"/>
      <w:lvlJc w:val="left"/>
      <w:pPr>
        <w:ind w:left="972" w:hanging="405"/>
      </w:pPr>
      <w:rPr>
        <w:rFonts w:ascii="Times New Roman" w:eastAsia="Times New Roman" w:hAnsi="Times New Roman" w:cs="David"/>
        <w:lang w:bidi="he-IL"/>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B2F5A9D"/>
    <w:multiLevelType w:val="hybridMultilevel"/>
    <w:tmpl w:val="15EA362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642375"/>
    <w:multiLevelType w:val="hybridMultilevel"/>
    <w:tmpl w:val="8C2258CE"/>
    <w:lvl w:ilvl="0" w:tplc="80523A7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F37F28"/>
    <w:multiLevelType w:val="hybridMultilevel"/>
    <w:tmpl w:val="10FE4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D835A3"/>
    <w:multiLevelType w:val="hybridMultilevel"/>
    <w:tmpl w:val="1F184B2E"/>
    <w:lvl w:ilvl="0" w:tplc="B2002148">
      <w:start w:val="31"/>
      <w:numFmt w:val="bullet"/>
      <w:lvlText w:val="-"/>
      <w:lvlJc w:val="left"/>
      <w:pPr>
        <w:ind w:left="720" w:hanging="360"/>
      </w:pPr>
      <w:rPr>
        <w:rFonts w:asciiTheme="minorHAnsi" w:eastAsiaTheme="minorHAnsi" w:hAnsiTheme="minorHAnsi"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1"/>
  </w:num>
  <w:num w:numId="3">
    <w:abstractNumId w:val="12"/>
  </w:num>
  <w:num w:numId="4">
    <w:abstractNumId w:val="5"/>
  </w:num>
  <w:num w:numId="5">
    <w:abstractNumId w:val="21"/>
  </w:num>
  <w:num w:numId="6">
    <w:abstractNumId w:val="23"/>
  </w:num>
  <w:num w:numId="7">
    <w:abstractNumId w:val="22"/>
  </w:num>
  <w:num w:numId="8">
    <w:abstractNumId w:val="0"/>
  </w:num>
  <w:num w:numId="9">
    <w:abstractNumId w:val="18"/>
  </w:num>
  <w:num w:numId="10">
    <w:abstractNumId w:val="19"/>
  </w:num>
  <w:num w:numId="11">
    <w:abstractNumId w:val="26"/>
  </w:num>
  <w:num w:numId="12">
    <w:abstractNumId w:val="10"/>
  </w:num>
  <w:num w:numId="13">
    <w:abstractNumId w:val="11"/>
  </w:num>
  <w:num w:numId="14">
    <w:abstractNumId w:val="2"/>
  </w:num>
  <w:num w:numId="15">
    <w:abstractNumId w:val="4"/>
  </w:num>
  <w:num w:numId="16">
    <w:abstractNumId w:val="20"/>
  </w:num>
  <w:num w:numId="17">
    <w:abstractNumId w:val="24"/>
  </w:num>
  <w:num w:numId="18">
    <w:abstractNumId w:val="17"/>
  </w:num>
  <w:num w:numId="19">
    <w:abstractNumId w:val="3"/>
  </w:num>
  <w:num w:numId="20">
    <w:abstractNumId w:val="6"/>
  </w:num>
  <w:num w:numId="21">
    <w:abstractNumId w:val="25"/>
  </w:num>
  <w:num w:numId="22">
    <w:abstractNumId w:val="15"/>
  </w:num>
  <w:num w:numId="23">
    <w:abstractNumId w:val="9"/>
  </w:num>
  <w:num w:numId="24">
    <w:abstractNumId w:val="7"/>
  </w:num>
  <w:num w:numId="25">
    <w:abstractNumId w:val="27"/>
  </w:num>
  <w:num w:numId="26">
    <w:abstractNumId w:val="13"/>
  </w:num>
  <w:num w:numId="27">
    <w:abstractNumId w:val="8"/>
  </w:num>
  <w:num w:numId="28">
    <w:abstractNumId w:val="14"/>
  </w:num>
  <w:num w:numId="29">
    <w:abstractNumId w:val="16"/>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A57"/>
    <w:rsid w:val="0000180E"/>
    <w:rsid w:val="0000413F"/>
    <w:rsid w:val="000129C6"/>
    <w:rsid w:val="00014E64"/>
    <w:rsid w:val="00021C61"/>
    <w:rsid w:val="000223F8"/>
    <w:rsid w:val="00026985"/>
    <w:rsid w:val="000305C4"/>
    <w:rsid w:val="00043A48"/>
    <w:rsid w:val="000441F5"/>
    <w:rsid w:val="000467B1"/>
    <w:rsid w:val="00052B72"/>
    <w:rsid w:val="00056C8E"/>
    <w:rsid w:val="00065CE1"/>
    <w:rsid w:val="000709CA"/>
    <w:rsid w:val="00071B01"/>
    <w:rsid w:val="000732A5"/>
    <w:rsid w:val="0007587D"/>
    <w:rsid w:val="00082E6D"/>
    <w:rsid w:val="000845A6"/>
    <w:rsid w:val="00091AA6"/>
    <w:rsid w:val="000937D8"/>
    <w:rsid w:val="000A3601"/>
    <w:rsid w:val="000A5E87"/>
    <w:rsid w:val="000B306E"/>
    <w:rsid w:val="000C1436"/>
    <w:rsid w:val="000C6793"/>
    <w:rsid w:val="000D5CAB"/>
    <w:rsid w:val="000E270D"/>
    <w:rsid w:val="000E3DD3"/>
    <w:rsid w:val="000F437E"/>
    <w:rsid w:val="000F5C65"/>
    <w:rsid w:val="00107935"/>
    <w:rsid w:val="00114077"/>
    <w:rsid w:val="001142AB"/>
    <w:rsid w:val="00114E01"/>
    <w:rsid w:val="0011691A"/>
    <w:rsid w:val="0013063F"/>
    <w:rsid w:val="00132070"/>
    <w:rsid w:val="00137B4E"/>
    <w:rsid w:val="00142F23"/>
    <w:rsid w:val="00143A88"/>
    <w:rsid w:val="00150EDA"/>
    <w:rsid w:val="00154299"/>
    <w:rsid w:val="0016149B"/>
    <w:rsid w:val="00167190"/>
    <w:rsid w:val="00167748"/>
    <w:rsid w:val="00182CB4"/>
    <w:rsid w:val="0018651A"/>
    <w:rsid w:val="00190C23"/>
    <w:rsid w:val="001A2B54"/>
    <w:rsid w:val="001A40E4"/>
    <w:rsid w:val="001B1C60"/>
    <w:rsid w:val="001C105B"/>
    <w:rsid w:val="001C2A21"/>
    <w:rsid w:val="001C6C97"/>
    <w:rsid w:val="001C6D24"/>
    <w:rsid w:val="001D132B"/>
    <w:rsid w:val="001D74FE"/>
    <w:rsid w:val="001E46CF"/>
    <w:rsid w:val="001E7160"/>
    <w:rsid w:val="001F4831"/>
    <w:rsid w:val="001F6B73"/>
    <w:rsid w:val="00204C75"/>
    <w:rsid w:val="00205561"/>
    <w:rsid w:val="002075CA"/>
    <w:rsid w:val="00213D04"/>
    <w:rsid w:val="00216872"/>
    <w:rsid w:val="00220C93"/>
    <w:rsid w:val="00221548"/>
    <w:rsid w:val="00221581"/>
    <w:rsid w:val="002219A9"/>
    <w:rsid w:val="00232123"/>
    <w:rsid w:val="0024504B"/>
    <w:rsid w:val="0024571C"/>
    <w:rsid w:val="00246631"/>
    <w:rsid w:val="0026022C"/>
    <w:rsid w:val="00260816"/>
    <w:rsid w:val="00260B1B"/>
    <w:rsid w:val="00270022"/>
    <w:rsid w:val="002766C7"/>
    <w:rsid w:val="0028076F"/>
    <w:rsid w:val="00280A06"/>
    <w:rsid w:val="00286E91"/>
    <w:rsid w:val="0029083E"/>
    <w:rsid w:val="0029407A"/>
    <w:rsid w:val="00296F7B"/>
    <w:rsid w:val="002A5369"/>
    <w:rsid w:val="002B046F"/>
    <w:rsid w:val="002B11D0"/>
    <w:rsid w:val="002B4F03"/>
    <w:rsid w:val="002B4FE7"/>
    <w:rsid w:val="002B51C5"/>
    <w:rsid w:val="002B52C4"/>
    <w:rsid w:val="002C1A8F"/>
    <w:rsid w:val="002C2CDF"/>
    <w:rsid w:val="002C6671"/>
    <w:rsid w:val="002C6684"/>
    <w:rsid w:val="002D5208"/>
    <w:rsid w:val="002D5446"/>
    <w:rsid w:val="002D675B"/>
    <w:rsid w:val="002E7DDB"/>
    <w:rsid w:val="002F1F8F"/>
    <w:rsid w:val="002F20AA"/>
    <w:rsid w:val="002F2C0A"/>
    <w:rsid w:val="002F44B4"/>
    <w:rsid w:val="003006EB"/>
    <w:rsid w:val="00302569"/>
    <w:rsid w:val="00305530"/>
    <w:rsid w:val="00310ABA"/>
    <w:rsid w:val="00313429"/>
    <w:rsid w:val="003301DC"/>
    <w:rsid w:val="00330202"/>
    <w:rsid w:val="00332197"/>
    <w:rsid w:val="00335081"/>
    <w:rsid w:val="00346427"/>
    <w:rsid w:val="00360584"/>
    <w:rsid w:val="00372ABB"/>
    <w:rsid w:val="00373936"/>
    <w:rsid w:val="003854D2"/>
    <w:rsid w:val="0038796C"/>
    <w:rsid w:val="0039238D"/>
    <w:rsid w:val="0039368B"/>
    <w:rsid w:val="0039651B"/>
    <w:rsid w:val="003A218C"/>
    <w:rsid w:val="003A3A8F"/>
    <w:rsid w:val="003A6EEE"/>
    <w:rsid w:val="003B5968"/>
    <w:rsid w:val="003C023A"/>
    <w:rsid w:val="003D596A"/>
    <w:rsid w:val="003E1775"/>
    <w:rsid w:val="003E1B21"/>
    <w:rsid w:val="003F3817"/>
    <w:rsid w:val="003F58D8"/>
    <w:rsid w:val="003F680A"/>
    <w:rsid w:val="00402524"/>
    <w:rsid w:val="00426664"/>
    <w:rsid w:val="00433753"/>
    <w:rsid w:val="00445CB1"/>
    <w:rsid w:val="0045002A"/>
    <w:rsid w:val="004558B0"/>
    <w:rsid w:val="00455D51"/>
    <w:rsid w:val="00456976"/>
    <w:rsid w:val="00461D2E"/>
    <w:rsid w:val="0047055F"/>
    <w:rsid w:val="0047126A"/>
    <w:rsid w:val="00471B17"/>
    <w:rsid w:val="00475327"/>
    <w:rsid w:val="004944A0"/>
    <w:rsid w:val="004947B8"/>
    <w:rsid w:val="004A61DF"/>
    <w:rsid w:val="004B05B1"/>
    <w:rsid w:val="004B7F6D"/>
    <w:rsid w:val="004C4C55"/>
    <w:rsid w:val="004C52AE"/>
    <w:rsid w:val="004D32ED"/>
    <w:rsid w:val="004D493D"/>
    <w:rsid w:val="004D5223"/>
    <w:rsid w:val="004E56B0"/>
    <w:rsid w:val="004E7107"/>
    <w:rsid w:val="004F4336"/>
    <w:rsid w:val="00503905"/>
    <w:rsid w:val="00505206"/>
    <w:rsid w:val="00511502"/>
    <w:rsid w:val="0051167E"/>
    <w:rsid w:val="00512982"/>
    <w:rsid w:val="00512DE0"/>
    <w:rsid w:val="00531212"/>
    <w:rsid w:val="005321B0"/>
    <w:rsid w:val="00532DBD"/>
    <w:rsid w:val="00542611"/>
    <w:rsid w:val="00561F87"/>
    <w:rsid w:val="0056628D"/>
    <w:rsid w:val="005779B1"/>
    <w:rsid w:val="00581934"/>
    <w:rsid w:val="00586554"/>
    <w:rsid w:val="005873E0"/>
    <w:rsid w:val="00591ED3"/>
    <w:rsid w:val="005A0F90"/>
    <w:rsid w:val="005A2565"/>
    <w:rsid w:val="005B4B0E"/>
    <w:rsid w:val="005B6B94"/>
    <w:rsid w:val="005C33B4"/>
    <w:rsid w:val="005C7081"/>
    <w:rsid w:val="005D02D2"/>
    <w:rsid w:val="005D277B"/>
    <w:rsid w:val="005D3F69"/>
    <w:rsid w:val="005D4C40"/>
    <w:rsid w:val="005D66C5"/>
    <w:rsid w:val="005E137D"/>
    <w:rsid w:val="005E47FA"/>
    <w:rsid w:val="005F06F7"/>
    <w:rsid w:val="005F252E"/>
    <w:rsid w:val="005F48F8"/>
    <w:rsid w:val="005F64EF"/>
    <w:rsid w:val="005F6D45"/>
    <w:rsid w:val="00603857"/>
    <w:rsid w:val="006071EC"/>
    <w:rsid w:val="00611747"/>
    <w:rsid w:val="006202AF"/>
    <w:rsid w:val="00621DD3"/>
    <w:rsid w:val="00622471"/>
    <w:rsid w:val="0063139D"/>
    <w:rsid w:val="00636CFA"/>
    <w:rsid w:val="006439A8"/>
    <w:rsid w:val="006459FB"/>
    <w:rsid w:val="00647861"/>
    <w:rsid w:val="00647AE5"/>
    <w:rsid w:val="00654373"/>
    <w:rsid w:val="006570DA"/>
    <w:rsid w:val="006657E9"/>
    <w:rsid w:val="006836B8"/>
    <w:rsid w:val="006879B2"/>
    <w:rsid w:val="006910FC"/>
    <w:rsid w:val="00691AAD"/>
    <w:rsid w:val="00694F25"/>
    <w:rsid w:val="006A087C"/>
    <w:rsid w:val="006A3DD1"/>
    <w:rsid w:val="006A4700"/>
    <w:rsid w:val="006A7986"/>
    <w:rsid w:val="006B5729"/>
    <w:rsid w:val="006B69F4"/>
    <w:rsid w:val="006B720A"/>
    <w:rsid w:val="006C32D4"/>
    <w:rsid w:val="006D3814"/>
    <w:rsid w:val="006D786D"/>
    <w:rsid w:val="006E30B6"/>
    <w:rsid w:val="006F1CAD"/>
    <w:rsid w:val="006F767A"/>
    <w:rsid w:val="00712C46"/>
    <w:rsid w:val="00713530"/>
    <w:rsid w:val="0071519D"/>
    <w:rsid w:val="00721DD6"/>
    <w:rsid w:val="00722670"/>
    <w:rsid w:val="007252C0"/>
    <w:rsid w:val="0072677E"/>
    <w:rsid w:val="00731094"/>
    <w:rsid w:val="00731386"/>
    <w:rsid w:val="00732CD6"/>
    <w:rsid w:val="00743387"/>
    <w:rsid w:val="00746A72"/>
    <w:rsid w:val="00764989"/>
    <w:rsid w:val="00765735"/>
    <w:rsid w:val="00771D80"/>
    <w:rsid w:val="007744CB"/>
    <w:rsid w:val="00774EFA"/>
    <w:rsid w:val="0077614E"/>
    <w:rsid w:val="007801E6"/>
    <w:rsid w:val="00786C6B"/>
    <w:rsid w:val="007873F7"/>
    <w:rsid w:val="00791750"/>
    <w:rsid w:val="007927D5"/>
    <w:rsid w:val="007A4FCC"/>
    <w:rsid w:val="007A551F"/>
    <w:rsid w:val="007A7CF6"/>
    <w:rsid w:val="007B4805"/>
    <w:rsid w:val="007B69E1"/>
    <w:rsid w:val="007C0570"/>
    <w:rsid w:val="007D1BE0"/>
    <w:rsid w:val="007D6EBF"/>
    <w:rsid w:val="007E1414"/>
    <w:rsid w:val="007E79C3"/>
    <w:rsid w:val="007F09FA"/>
    <w:rsid w:val="007F0B3A"/>
    <w:rsid w:val="007F38C0"/>
    <w:rsid w:val="007F660A"/>
    <w:rsid w:val="007F6BB4"/>
    <w:rsid w:val="008020D7"/>
    <w:rsid w:val="00802F2C"/>
    <w:rsid w:val="00803B4E"/>
    <w:rsid w:val="00810FC2"/>
    <w:rsid w:val="00813883"/>
    <w:rsid w:val="00814DA3"/>
    <w:rsid w:val="008178EA"/>
    <w:rsid w:val="00831866"/>
    <w:rsid w:val="00831A64"/>
    <w:rsid w:val="00836BA9"/>
    <w:rsid w:val="00860989"/>
    <w:rsid w:val="00865E0B"/>
    <w:rsid w:val="00872F91"/>
    <w:rsid w:val="008745B5"/>
    <w:rsid w:val="008753D7"/>
    <w:rsid w:val="00880657"/>
    <w:rsid w:val="00880941"/>
    <w:rsid w:val="00886ACD"/>
    <w:rsid w:val="008915B9"/>
    <w:rsid w:val="00893B61"/>
    <w:rsid w:val="00896341"/>
    <w:rsid w:val="008C0528"/>
    <w:rsid w:val="008C0E3C"/>
    <w:rsid w:val="008C147B"/>
    <w:rsid w:val="008C5431"/>
    <w:rsid w:val="008C545F"/>
    <w:rsid w:val="008C5932"/>
    <w:rsid w:val="008D18BD"/>
    <w:rsid w:val="008D718B"/>
    <w:rsid w:val="008E1085"/>
    <w:rsid w:val="008E1482"/>
    <w:rsid w:val="008E7898"/>
    <w:rsid w:val="008F0A68"/>
    <w:rsid w:val="008F0E1E"/>
    <w:rsid w:val="008F5867"/>
    <w:rsid w:val="008F6773"/>
    <w:rsid w:val="00902859"/>
    <w:rsid w:val="00904895"/>
    <w:rsid w:val="00904D63"/>
    <w:rsid w:val="00907018"/>
    <w:rsid w:val="00910529"/>
    <w:rsid w:val="0091318C"/>
    <w:rsid w:val="00920428"/>
    <w:rsid w:val="00926521"/>
    <w:rsid w:val="00935E10"/>
    <w:rsid w:val="00940DDB"/>
    <w:rsid w:val="009437CC"/>
    <w:rsid w:val="00945FF4"/>
    <w:rsid w:val="00956480"/>
    <w:rsid w:val="00963C7D"/>
    <w:rsid w:val="00972B6E"/>
    <w:rsid w:val="00984A36"/>
    <w:rsid w:val="00997AAC"/>
    <w:rsid w:val="009A2163"/>
    <w:rsid w:val="009A4444"/>
    <w:rsid w:val="009A4950"/>
    <w:rsid w:val="009A71A3"/>
    <w:rsid w:val="009D2B80"/>
    <w:rsid w:val="00A047EF"/>
    <w:rsid w:val="00A0631A"/>
    <w:rsid w:val="00A165CA"/>
    <w:rsid w:val="00A20298"/>
    <w:rsid w:val="00A306E0"/>
    <w:rsid w:val="00A31AE2"/>
    <w:rsid w:val="00A356B6"/>
    <w:rsid w:val="00A3771D"/>
    <w:rsid w:val="00A41C8A"/>
    <w:rsid w:val="00A466CC"/>
    <w:rsid w:val="00A533FA"/>
    <w:rsid w:val="00A54924"/>
    <w:rsid w:val="00A644A0"/>
    <w:rsid w:val="00A64B69"/>
    <w:rsid w:val="00A67566"/>
    <w:rsid w:val="00A83BCD"/>
    <w:rsid w:val="00A86BF9"/>
    <w:rsid w:val="00A87DC2"/>
    <w:rsid w:val="00A927A9"/>
    <w:rsid w:val="00A9531A"/>
    <w:rsid w:val="00AA0380"/>
    <w:rsid w:val="00AA1D91"/>
    <w:rsid w:val="00AA327E"/>
    <w:rsid w:val="00AA4AA7"/>
    <w:rsid w:val="00AB0FBD"/>
    <w:rsid w:val="00AC5AC9"/>
    <w:rsid w:val="00AD7865"/>
    <w:rsid w:val="00AD7FDF"/>
    <w:rsid w:val="00AE07CE"/>
    <w:rsid w:val="00AE0B2B"/>
    <w:rsid w:val="00AE273F"/>
    <w:rsid w:val="00AF0911"/>
    <w:rsid w:val="00AF6BE5"/>
    <w:rsid w:val="00B02855"/>
    <w:rsid w:val="00B02882"/>
    <w:rsid w:val="00B152CE"/>
    <w:rsid w:val="00B16430"/>
    <w:rsid w:val="00B167F4"/>
    <w:rsid w:val="00B53B58"/>
    <w:rsid w:val="00B64B2E"/>
    <w:rsid w:val="00B675D2"/>
    <w:rsid w:val="00B675F7"/>
    <w:rsid w:val="00B676B4"/>
    <w:rsid w:val="00B83638"/>
    <w:rsid w:val="00B90933"/>
    <w:rsid w:val="00B96E31"/>
    <w:rsid w:val="00B97063"/>
    <w:rsid w:val="00BA0692"/>
    <w:rsid w:val="00BA1B2C"/>
    <w:rsid w:val="00BA3BF5"/>
    <w:rsid w:val="00BA5AA4"/>
    <w:rsid w:val="00BA63B1"/>
    <w:rsid w:val="00BB5BA1"/>
    <w:rsid w:val="00BB6C2A"/>
    <w:rsid w:val="00BC4B60"/>
    <w:rsid w:val="00BE533A"/>
    <w:rsid w:val="00C048CA"/>
    <w:rsid w:val="00C05B42"/>
    <w:rsid w:val="00C070E4"/>
    <w:rsid w:val="00C170FF"/>
    <w:rsid w:val="00C22885"/>
    <w:rsid w:val="00C25C6C"/>
    <w:rsid w:val="00C2695E"/>
    <w:rsid w:val="00C26C1E"/>
    <w:rsid w:val="00C36D21"/>
    <w:rsid w:val="00C470E8"/>
    <w:rsid w:val="00C52A14"/>
    <w:rsid w:val="00C53382"/>
    <w:rsid w:val="00C53733"/>
    <w:rsid w:val="00C554AD"/>
    <w:rsid w:val="00C569F5"/>
    <w:rsid w:val="00C61811"/>
    <w:rsid w:val="00C71109"/>
    <w:rsid w:val="00C71FDE"/>
    <w:rsid w:val="00C77733"/>
    <w:rsid w:val="00C8258A"/>
    <w:rsid w:val="00C855EC"/>
    <w:rsid w:val="00C93913"/>
    <w:rsid w:val="00CA0BE6"/>
    <w:rsid w:val="00CA3A12"/>
    <w:rsid w:val="00CA5E4B"/>
    <w:rsid w:val="00CA705C"/>
    <w:rsid w:val="00CB3562"/>
    <w:rsid w:val="00CB3D51"/>
    <w:rsid w:val="00CB761A"/>
    <w:rsid w:val="00CD3A2B"/>
    <w:rsid w:val="00CD4A33"/>
    <w:rsid w:val="00CD7484"/>
    <w:rsid w:val="00CE4129"/>
    <w:rsid w:val="00CE4DDF"/>
    <w:rsid w:val="00CE760D"/>
    <w:rsid w:val="00CF3ED3"/>
    <w:rsid w:val="00D015BF"/>
    <w:rsid w:val="00D033F5"/>
    <w:rsid w:val="00D044C3"/>
    <w:rsid w:val="00D05EFC"/>
    <w:rsid w:val="00D70A8D"/>
    <w:rsid w:val="00D723E4"/>
    <w:rsid w:val="00D73A8C"/>
    <w:rsid w:val="00D744D6"/>
    <w:rsid w:val="00D84889"/>
    <w:rsid w:val="00D84E10"/>
    <w:rsid w:val="00D87EC6"/>
    <w:rsid w:val="00D923BF"/>
    <w:rsid w:val="00D95F4B"/>
    <w:rsid w:val="00DA1310"/>
    <w:rsid w:val="00DA18C9"/>
    <w:rsid w:val="00DA2646"/>
    <w:rsid w:val="00DC142E"/>
    <w:rsid w:val="00DC3BF7"/>
    <w:rsid w:val="00DC5476"/>
    <w:rsid w:val="00DC7856"/>
    <w:rsid w:val="00DD44C5"/>
    <w:rsid w:val="00DE4862"/>
    <w:rsid w:val="00E0179D"/>
    <w:rsid w:val="00E0186D"/>
    <w:rsid w:val="00E02AA9"/>
    <w:rsid w:val="00E11D43"/>
    <w:rsid w:val="00E21FF7"/>
    <w:rsid w:val="00E364B8"/>
    <w:rsid w:val="00E4093F"/>
    <w:rsid w:val="00E4099A"/>
    <w:rsid w:val="00E409AF"/>
    <w:rsid w:val="00E416B5"/>
    <w:rsid w:val="00E43A5A"/>
    <w:rsid w:val="00E43DEC"/>
    <w:rsid w:val="00E50AD9"/>
    <w:rsid w:val="00E5611A"/>
    <w:rsid w:val="00E600B2"/>
    <w:rsid w:val="00E617FC"/>
    <w:rsid w:val="00E7647E"/>
    <w:rsid w:val="00E771A5"/>
    <w:rsid w:val="00E91CB9"/>
    <w:rsid w:val="00EA1366"/>
    <w:rsid w:val="00EA41CD"/>
    <w:rsid w:val="00EB2EE4"/>
    <w:rsid w:val="00EB4E98"/>
    <w:rsid w:val="00EB5588"/>
    <w:rsid w:val="00EC10ED"/>
    <w:rsid w:val="00EC6233"/>
    <w:rsid w:val="00ED1B55"/>
    <w:rsid w:val="00EE2A3A"/>
    <w:rsid w:val="00EE3257"/>
    <w:rsid w:val="00EE5B9F"/>
    <w:rsid w:val="00EF67BB"/>
    <w:rsid w:val="00F03208"/>
    <w:rsid w:val="00F05D85"/>
    <w:rsid w:val="00F05F60"/>
    <w:rsid w:val="00F10DCD"/>
    <w:rsid w:val="00F12D53"/>
    <w:rsid w:val="00F15C2C"/>
    <w:rsid w:val="00F1690E"/>
    <w:rsid w:val="00F17523"/>
    <w:rsid w:val="00F209AE"/>
    <w:rsid w:val="00F23F91"/>
    <w:rsid w:val="00F269D6"/>
    <w:rsid w:val="00F26CA2"/>
    <w:rsid w:val="00F301EF"/>
    <w:rsid w:val="00F323CC"/>
    <w:rsid w:val="00F349CD"/>
    <w:rsid w:val="00F4458E"/>
    <w:rsid w:val="00F46021"/>
    <w:rsid w:val="00F50D13"/>
    <w:rsid w:val="00F51FD3"/>
    <w:rsid w:val="00F520BB"/>
    <w:rsid w:val="00F52D73"/>
    <w:rsid w:val="00F53435"/>
    <w:rsid w:val="00F53C18"/>
    <w:rsid w:val="00F56BA6"/>
    <w:rsid w:val="00F57F9F"/>
    <w:rsid w:val="00F61E78"/>
    <w:rsid w:val="00F620B5"/>
    <w:rsid w:val="00F723DA"/>
    <w:rsid w:val="00F7275E"/>
    <w:rsid w:val="00F73794"/>
    <w:rsid w:val="00F85234"/>
    <w:rsid w:val="00F860B6"/>
    <w:rsid w:val="00FB40B9"/>
    <w:rsid w:val="00FC3458"/>
    <w:rsid w:val="00FC4401"/>
    <w:rsid w:val="00FC5454"/>
    <w:rsid w:val="00FC5E58"/>
    <w:rsid w:val="00FC610C"/>
    <w:rsid w:val="00FD575B"/>
    <w:rsid w:val="00FD7289"/>
    <w:rsid w:val="00FE3EFA"/>
    <w:rsid w:val="00FE6A57"/>
    <w:rsid w:val="00FF1C5A"/>
    <w:rsid w:val="00FF493D"/>
    <w:rsid w:val="00FF5E6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1631E2"/>
  <w15:docId w15:val="{4E712993-E070-4465-BEF3-DDF448729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23F8"/>
    <w:pPr>
      <w:bidi/>
    </w:pPr>
  </w:style>
  <w:style w:type="paragraph" w:styleId="Heading1">
    <w:name w:val="heading 1"/>
    <w:basedOn w:val="Normal"/>
    <w:next w:val="Normal"/>
    <w:link w:val="Heading1Char"/>
    <w:uiPriority w:val="9"/>
    <w:qFormat/>
    <w:rsid w:val="00F301E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B6C2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7865"/>
    <w:pPr>
      <w:ind w:left="720"/>
      <w:contextualSpacing/>
    </w:pPr>
  </w:style>
  <w:style w:type="paragraph" w:customStyle="1" w:styleId="2">
    <w:name w:val="מיספור2"/>
    <w:basedOn w:val="Normal"/>
    <w:next w:val="Normal"/>
    <w:uiPriority w:val="99"/>
    <w:rsid w:val="00143A88"/>
    <w:pPr>
      <w:numPr>
        <w:ilvl w:val="1"/>
        <w:numId w:val="2"/>
      </w:numPr>
      <w:spacing w:before="120" w:after="60" w:line="360" w:lineRule="auto"/>
      <w:jc w:val="both"/>
    </w:pPr>
    <w:rPr>
      <w:rFonts w:ascii="Times New Roman" w:eastAsia="Times New Roman" w:hAnsi="Times New Roman" w:cs="David"/>
      <w:sz w:val="20"/>
      <w:szCs w:val="24"/>
      <w:lang w:eastAsia="he-IL"/>
    </w:rPr>
  </w:style>
  <w:style w:type="paragraph" w:customStyle="1" w:styleId="1">
    <w:name w:val="מספור1"/>
    <w:basedOn w:val="Normal"/>
    <w:next w:val="Normal"/>
    <w:uiPriority w:val="99"/>
    <w:rsid w:val="00143A88"/>
    <w:pPr>
      <w:numPr>
        <w:numId w:val="2"/>
      </w:numPr>
      <w:spacing w:before="120" w:after="60" w:line="360" w:lineRule="auto"/>
      <w:ind w:right="34"/>
      <w:jc w:val="both"/>
    </w:pPr>
    <w:rPr>
      <w:rFonts w:ascii="Times New Roman" w:eastAsia="Times New Roman" w:hAnsi="Times New Roman" w:cs="David"/>
      <w:color w:val="000000"/>
      <w:sz w:val="20"/>
      <w:szCs w:val="24"/>
    </w:rPr>
  </w:style>
  <w:style w:type="paragraph" w:customStyle="1" w:styleId="3">
    <w:name w:val="מספור3"/>
    <w:basedOn w:val="Normal"/>
    <w:next w:val="Normal"/>
    <w:uiPriority w:val="99"/>
    <w:rsid w:val="00143A88"/>
    <w:pPr>
      <w:numPr>
        <w:ilvl w:val="2"/>
        <w:numId w:val="2"/>
      </w:numPr>
      <w:spacing w:before="120" w:after="60" w:line="360" w:lineRule="auto"/>
      <w:jc w:val="both"/>
    </w:pPr>
    <w:rPr>
      <w:rFonts w:ascii="Times New Roman" w:eastAsia="Times New Roman" w:hAnsi="Times New Roman" w:cs="David"/>
      <w:sz w:val="20"/>
      <w:szCs w:val="24"/>
      <w:lang w:eastAsia="he-IL"/>
    </w:rPr>
  </w:style>
  <w:style w:type="character" w:styleId="FootnoteReference">
    <w:name w:val="footnote reference"/>
    <w:basedOn w:val="DefaultParagraphFont"/>
    <w:uiPriority w:val="99"/>
    <w:semiHidden/>
    <w:unhideWhenUsed/>
    <w:rsid w:val="001A2B54"/>
    <w:rPr>
      <w:vertAlign w:val="superscript"/>
    </w:rPr>
  </w:style>
  <w:style w:type="character" w:styleId="Hyperlink">
    <w:name w:val="Hyperlink"/>
    <w:basedOn w:val="DefaultParagraphFont"/>
    <w:uiPriority w:val="99"/>
    <w:unhideWhenUsed/>
    <w:rsid w:val="001A2B54"/>
    <w:rPr>
      <w:color w:val="0000FF" w:themeColor="hyperlink"/>
      <w:u w:val="single"/>
    </w:rPr>
  </w:style>
  <w:style w:type="paragraph" w:styleId="FootnoteText">
    <w:name w:val="footnote text"/>
    <w:basedOn w:val="Normal"/>
    <w:link w:val="FootnoteTextChar"/>
    <w:uiPriority w:val="99"/>
    <w:unhideWhenUsed/>
    <w:rsid w:val="001A2B54"/>
    <w:pPr>
      <w:spacing w:after="0" w:line="240" w:lineRule="auto"/>
    </w:pPr>
    <w:rPr>
      <w:sz w:val="20"/>
      <w:szCs w:val="20"/>
    </w:rPr>
  </w:style>
  <w:style w:type="character" w:customStyle="1" w:styleId="FootnoteTextChar">
    <w:name w:val="Footnote Text Char"/>
    <w:basedOn w:val="DefaultParagraphFont"/>
    <w:link w:val="FootnoteText"/>
    <w:uiPriority w:val="99"/>
    <w:rsid w:val="001A2B54"/>
    <w:rPr>
      <w:sz w:val="20"/>
      <w:szCs w:val="20"/>
    </w:rPr>
  </w:style>
  <w:style w:type="character" w:styleId="FollowedHyperlink">
    <w:name w:val="FollowedHyperlink"/>
    <w:basedOn w:val="DefaultParagraphFont"/>
    <w:uiPriority w:val="99"/>
    <w:semiHidden/>
    <w:unhideWhenUsed/>
    <w:rsid w:val="0013063F"/>
    <w:rPr>
      <w:color w:val="800080" w:themeColor="followedHyperlink"/>
      <w:u w:val="single"/>
    </w:rPr>
  </w:style>
  <w:style w:type="character" w:styleId="CommentReference">
    <w:name w:val="annotation reference"/>
    <w:basedOn w:val="DefaultParagraphFont"/>
    <w:uiPriority w:val="99"/>
    <w:semiHidden/>
    <w:unhideWhenUsed/>
    <w:rsid w:val="00026985"/>
    <w:rPr>
      <w:sz w:val="16"/>
      <w:szCs w:val="16"/>
    </w:rPr>
  </w:style>
  <w:style w:type="paragraph" w:styleId="CommentText">
    <w:name w:val="annotation text"/>
    <w:basedOn w:val="Normal"/>
    <w:link w:val="CommentTextChar"/>
    <w:uiPriority w:val="99"/>
    <w:semiHidden/>
    <w:unhideWhenUsed/>
    <w:rsid w:val="00026985"/>
    <w:pPr>
      <w:spacing w:line="240" w:lineRule="auto"/>
    </w:pPr>
    <w:rPr>
      <w:sz w:val="20"/>
      <w:szCs w:val="20"/>
    </w:rPr>
  </w:style>
  <w:style w:type="character" w:customStyle="1" w:styleId="CommentTextChar">
    <w:name w:val="Comment Text Char"/>
    <w:basedOn w:val="DefaultParagraphFont"/>
    <w:link w:val="CommentText"/>
    <w:uiPriority w:val="99"/>
    <w:semiHidden/>
    <w:rsid w:val="00026985"/>
    <w:rPr>
      <w:sz w:val="20"/>
      <w:szCs w:val="20"/>
    </w:rPr>
  </w:style>
  <w:style w:type="paragraph" w:styleId="CommentSubject">
    <w:name w:val="annotation subject"/>
    <w:basedOn w:val="CommentText"/>
    <w:next w:val="CommentText"/>
    <w:link w:val="CommentSubjectChar"/>
    <w:uiPriority w:val="99"/>
    <w:semiHidden/>
    <w:unhideWhenUsed/>
    <w:rsid w:val="00026985"/>
    <w:rPr>
      <w:b/>
      <w:bCs/>
    </w:rPr>
  </w:style>
  <w:style w:type="character" w:customStyle="1" w:styleId="CommentSubjectChar">
    <w:name w:val="Comment Subject Char"/>
    <w:basedOn w:val="CommentTextChar"/>
    <w:link w:val="CommentSubject"/>
    <w:uiPriority w:val="99"/>
    <w:semiHidden/>
    <w:rsid w:val="00026985"/>
    <w:rPr>
      <w:b/>
      <w:bCs/>
      <w:sz w:val="20"/>
      <w:szCs w:val="20"/>
    </w:rPr>
  </w:style>
  <w:style w:type="paragraph" w:styleId="BalloonText">
    <w:name w:val="Balloon Text"/>
    <w:basedOn w:val="Normal"/>
    <w:link w:val="BalloonTextChar"/>
    <w:uiPriority w:val="99"/>
    <w:semiHidden/>
    <w:unhideWhenUsed/>
    <w:rsid w:val="000269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6985"/>
    <w:rPr>
      <w:rFonts w:ascii="Tahoma" w:hAnsi="Tahoma" w:cs="Tahoma"/>
      <w:sz w:val="16"/>
      <w:szCs w:val="16"/>
    </w:rPr>
  </w:style>
  <w:style w:type="paragraph" w:styleId="NoSpacing">
    <w:name w:val="No Spacing"/>
    <w:link w:val="NoSpacingChar"/>
    <w:uiPriority w:val="1"/>
    <w:qFormat/>
    <w:rsid w:val="00026985"/>
    <w:pPr>
      <w:bidi/>
      <w:spacing w:after="0" w:line="240" w:lineRule="auto"/>
    </w:pPr>
    <w:rPr>
      <w:rFonts w:eastAsiaTheme="minorEastAsia"/>
    </w:rPr>
  </w:style>
  <w:style w:type="character" w:customStyle="1" w:styleId="NoSpacingChar">
    <w:name w:val="No Spacing Char"/>
    <w:basedOn w:val="DefaultParagraphFont"/>
    <w:link w:val="NoSpacing"/>
    <w:uiPriority w:val="1"/>
    <w:rsid w:val="00026985"/>
    <w:rPr>
      <w:rFonts w:eastAsiaTheme="minorEastAsia"/>
    </w:rPr>
  </w:style>
  <w:style w:type="paragraph" w:styleId="Revision">
    <w:name w:val="Revision"/>
    <w:hidden/>
    <w:uiPriority w:val="99"/>
    <w:semiHidden/>
    <w:rsid w:val="00A64B69"/>
    <w:pPr>
      <w:spacing w:after="0" w:line="240" w:lineRule="auto"/>
    </w:pPr>
  </w:style>
  <w:style w:type="paragraph" w:styleId="BodyText3">
    <w:name w:val="Body Text 3"/>
    <w:basedOn w:val="Normal"/>
    <w:link w:val="BodyText3Char"/>
    <w:uiPriority w:val="99"/>
    <w:semiHidden/>
    <w:unhideWhenUsed/>
    <w:rsid w:val="00A64B69"/>
    <w:pPr>
      <w:spacing w:after="120"/>
    </w:pPr>
    <w:rPr>
      <w:sz w:val="16"/>
      <w:szCs w:val="16"/>
    </w:rPr>
  </w:style>
  <w:style w:type="character" w:customStyle="1" w:styleId="BodyText3Char">
    <w:name w:val="Body Text 3 Char"/>
    <w:basedOn w:val="DefaultParagraphFont"/>
    <w:link w:val="BodyText3"/>
    <w:uiPriority w:val="99"/>
    <w:semiHidden/>
    <w:rsid w:val="00A64B69"/>
    <w:rPr>
      <w:sz w:val="16"/>
      <w:szCs w:val="16"/>
    </w:rPr>
  </w:style>
  <w:style w:type="paragraph" w:styleId="Header">
    <w:name w:val="header"/>
    <w:basedOn w:val="Normal"/>
    <w:link w:val="HeaderChar"/>
    <w:uiPriority w:val="99"/>
    <w:unhideWhenUsed/>
    <w:rsid w:val="00542611"/>
    <w:pPr>
      <w:tabs>
        <w:tab w:val="center" w:pos="4320"/>
        <w:tab w:val="right" w:pos="8640"/>
      </w:tabs>
      <w:spacing w:after="0" w:line="240" w:lineRule="auto"/>
    </w:pPr>
  </w:style>
  <w:style w:type="character" w:customStyle="1" w:styleId="HeaderChar">
    <w:name w:val="Header Char"/>
    <w:basedOn w:val="DefaultParagraphFont"/>
    <w:link w:val="Header"/>
    <w:uiPriority w:val="99"/>
    <w:rsid w:val="00542611"/>
  </w:style>
  <w:style w:type="paragraph" w:styleId="Footer">
    <w:name w:val="footer"/>
    <w:basedOn w:val="Normal"/>
    <w:link w:val="FooterChar"/>
    <w:uiPriority w:val="99"/>
    <w:unhideWhenUsed/>
    <w:rsid w:val="00542611"/>
    <w:pPr>
      <w:tabs>
        <w:tab w:val="center" w:pos="4320"/>
        <w:tab w:val="right" w:pos="8640"/>
      </w:tabs>
      <w:spacing w:after="0" w:line="240" w:lineRule="auto"/>
    </w:pPr>
  </w:style>
  <w:style w:type="character" w:customStyle="1" w:styleId="FooterChar">
    <w:name w:val="Footer Char"/>
    <w:basedOn w:val="DefaultParagraphFont"/>
    <w:link w:val="Footer"/>
    <w:uiPriority w:val="99"/>
    <w:rsid w:val="00542611"/>
  </w:style>
  <w:style w:type="paragraph" w:customStyle="1" w:styleId="Default">
    <w:name w:val="Default"/>
    <w:rsid w:val="001C6D24"/>
    <w:pPr>
      <w:autoSpaceDE w:val="0"/>
      <w:autoSpaceDN w:val="0"/>
      <w:adjustRightInd w:val="0"/>
      <w:spacing w:after="0" w:line="240" w:lineRule="auto"/>
    </w:pPr>
    <w:rPr>
      <w:rFonts w:ascii="Calibri" w:hAnsi="Calibri" w:cs="Calibri"/>
      <w:color w:val="000000"/>
      <w:sz w:val="24"/>
      <w:szCs w:val="24"/>
    </w:rPr>
  </w:style>
  <w:style w:type="character" w:customStyle="1" w:styleId="Heading1Char">
    <w:name w:val="Heading 1 Char"/>
    <w:basedOn w:val="DefaultParagraphFont"/>
    <w:link w:val="Heading1"/>
    <w:uiPriority w:val="9"/>
    <w:rsid w:val="00F301E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B6C2A"/>
    <w:rPr>
      <w:rFonts w:asciiTheme="majorHAnsi" w:eastAsiaTheme="majorEastAsia" w:hAnsiTheme="majorHAnsi" w:cstheme="majorBidi"/>
      <w:color w:val="365F91" w:themeColor="accent1" w:themeShade="BF"/>
      <w:sz w:val="26"/>
      <w:szCs w:val="26"/>
    </w:rPr>
  </w:style>
  <w:style w:type="paragraph" w:customStyle="1" w:styleId="p00">
    <w:name w:val="p00"/>
    <w:basedOn w:val="Normal"/>
    <w:rsid w:val="00F57F9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g-number">
    <w:name w:val="big-number"/>
    <w:basedOn w:val="DefaultParagraphFont"/>
    <w:rsid w:val="00F57F9F"/>
  </w:style>
  <w:style w:type="character" w:customStyle="1" w:styleId="null1">
    <w:name w:val="null1"/>
    <w:basedOn w:val="DefaultParagraphFont"/>
    <w:rsid w:val="00E409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07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2022-06-15T00:00:00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CF4DB0A-0E90-41C3-8E83-6A7B4835F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813</Words>
  <Characters>4467</Characters>
  <Application>Microsoft Office Word</Application>
  <DocSecurity>4</DocSecurity>
  <Lines>144</Lines>
  <Paragraphs>76</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דוח הערכת השפעת רגולציה</vt:lpstr>
      <vt:lpstr>דוח הערכת השפעת רגולציה</vt:lpstr>
    </vt:vector>
  </TitlesOfParts>
  <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דוח הערכת השפעת רגולציה</dc:title>
  <dc:subject>פטור סוג להסדרים תפעוליים שעניינם תובלה בין-לאומית בים, התשע"ג-2012 (הוראת שעה)(תיקון), התשפ"ב 2022</dc:subject>
  <dc:creator>עורכי הדו"ח: רשות ההגבלים העסקיים</dc:creator>
  <cp:keywords/>
  <dc:description/>
  <cp:lastModifiedBy>Melita Shafir</cp:lastModifiedBy>
  <cp:revision>2</cp:revision>
  <cp:lastPrinted>2018-03-15T09:27:00Z</cp:lastPrinted>
  <dcterms:created xsi:type="dcterms:W3CDTF">2022-06-19T13:37:00Z</dcterms:created>
  <dcterms:modified xsi:type="dcterms:W3CDTF">2022-06-19T13:37:00Z</dcterms:modified>
</cp:coreProperties>
</file>